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257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2576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Smiley Andrea Heslin</w:t>
              </w:r>
            </w:hyperlink>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AtaiBeckley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ATAI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00" w:type="dxa"/>
            <w:vAlign w:val="bottom"/>
            <w:tcBorders>
              <w:bottom w:val="single" w:sz="8" w:color="0000EE"/>
            </w:tcBorders>
            <w:gridSpan w:val="2"/>
            <w:vMerge w:val="continue"/>
          </w:tcPr>
          <w:p>
            <w:pPr>
              <w:spacing w:after="0"/>
              <w:rPr>
                <w:sz w:val="5"/>
                <w:szCs w:val="5"/>
                <w:color w:val="auto"/>
              </w:rPr>
            </w:pPr>
          </w:p>
        </w:tc>
        <w:tc>
          <w:tcPr>
            <w:tcW w:w="6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800" w:type="dxa"/>
            <w:vAlign w:val="bottom"/>
            <w:gridSpan w:val="2"/>
          </w:tcPr>
          <w:p>
            <w:pPr>
              <w:spacing w:after="0"/>
              <w:rPr>
                <w:sz w:val="6"/>
                <w:szCs w:val="6"/>
                <w:color w:val="auto"/>
              </w:rPr>
            </w:pPr>
          </w:p>
        </w:tc>
        <w:tc>
          <w:tcPr>
            <w:tcW w:w="6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5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06/04/2026</w:t>
            </w:r>
          </w:p>
        </w:tc>
        <w:tc>
          <w:tcPr>
            <w:tcW w:w="24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ATAI LIFE SCIENCES US, INC.</w:t>
            </w:r>
          </w:p>
        </w:tc>
        <w:tc>
          <w:tcPr>
            <w:tcW w:w="1520" w:type="dxa"/>
            <w:vAlign w:val="bottom"/>
            <w:gridSpan w:val="3"/>
            <w:vMerge w:val="continue"/>
          </w:tcPr>
          <w:p>
            <w:pPr>
              <w:spacing w:after="0"/>
              <w:rPr>
                <w:sz w:val="10"/>
                <w:szCs w:val="10"/>
                <w:color w:val="auto"/>
              </w:rPr>
            </w:pPr>
          </w:p>
        </w:tc>
        <w:tc>
          <w:tcPr>
            <w:tcW w:w="2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INDUSTRIOUS NYC, 250 WEST 34TH ST</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10119</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121,968</w:t>
            </w:r>
          </w:p>
        </w:tc>
        <w:tc>
          <w:tcPr>
            <w:tcW w:w="22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121,968</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121,968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on the earlier of the day before AtaiBeckley Inc.'s next annual meeting or June 4, 2027, subject to continued service on AtaiBeckley Inc.'s board of directors through the applicable vesting date.</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Barrett, as attorney 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06/08/2026</w:t>
            </w:r>
          </w:p>
        </w:tc>
        <w:tc>
          <w:tcPr>
            <w:tcW w:w="0" w:type="dxa"/>
            <w:vAlign w:val="bottom"/>
          </w:tcPr>
          <w:p>
            <w:pPr>
              <w:spacing w:after="0"/>
              <w:rPr>
                <w:sz w:val="1"/>
                <w:szCs w:val="1"/>
                <w:color w:val="auto"/>
              </w:rPr>
            </w:pPr>
          </w:p>
        </w:tc>
      </w:tr>
      <w:tr>
        <w:trPr>
          <w:trHeight w:val="87"/>
        </w:trPr>
        <w:tc>
          <w:tcPr>
            <w:tcW w:w="24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6"/>
              </w:rPr>
              <w:t>fact</w:t>
            </w:r>
          </w:p>
        </w:tc>
        <w:tc>
          <w:tcPr>
            <w:tcW w:w="176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40" w:type="dxa"/>
            <w:vAlign w:val="bottom"/>
            <w:tcBorders>
              <w:bottom w:val="single" w:sz="8" w:color="auto"/>
            </w:tcBorders>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03767" TargetMode="External"/><Relationship Id="rId14" Type="http://schemas.openxmlformats.org/officeDocument/2006/relationships/hyperlink" Target="http://www.sec.gov/cgi-bin/browse-edgar?action=getcompany&amp;CIK=00020810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2026-06-08T19:02:54Z</dcterms:created>
  <dcterms:modified xsi:type="dcterms:W3CDTF">2026-06-08T19:02:54Z</dcterms:modified>
</cp:coreProperties>
</file>