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ai-20250331.htm"/>
      <w:bookmarkStart w:id="1" w:name="ksatai2025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18"/>
        </w:rPr>
        <w:t>For the quarterly period ended March 31, 2025</w:t>
      </w:r>
      <w:r>
        <w:rPr>
          <w:rFonts w:ascii="Times New Roman" w:hAnsi="Times New Roman"/>
          <w:color w:val="000000"/>
          <w:sz w:val="20"/>
        </w:rPr>
        <w:t xml:space="preserve"> </w:t>
      </w: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 to __________</w:t>
      </w:r>
    </w:p>
    <w:p>
      <w:pPr>
        <w:pStyle w:val="TextBody"/>
        <w:bidi w:val="0"/>
        <w:jc w:val="left"/>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001-40493</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ATAI Life Sciences N.V.</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top w:val="single" w:sz="6" w:space="1" w:color="000000"/>
        </w:pBdr>
        <w:bidi w:val="0"/>
        <w:spacing w:before="80" w:after="283"/>
        <w:jc w:val="center"/>
        <w:rPr/>
      </w:pPr>
      <w:r>
        <w:rPr/>
        <w:t> </w:t>
      </w:r>
    </w:p>
    <w:tbl>
      <w:tblPr>
        <w:tblW w:w="4521" w:type="dxa"/>
        <w:jc w:val="left"/>
        <w:tblInd w:w="0" w:type="dxa"/>
        <w:tblLayout w:type="fixed"/>
        <w:tblCellMar>
          <w:top w:w="28" w:type="dxa"/>
          <w:left w:w="28" w:type="dxa"/>
          <w:bottom w:w="28" w:type="dxa"/>
          <w:right w:w="28" w:type="dxa"/>
        </w:tblCellMar>
      </w:tblPr>
      <w:tblGrid>
        <w:gridCol w:w="2926"/>
        <w:gridCol w:w="109"/>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 xml:space="preserve">ATAI Life Sciences N.V. </w:t>
            </w:r>
          </w:p>
          <w:p>
            <w:pPr>
              <w:pStyle w:val="TableContents"/>
              <w:bidi w:val="0"/>
              <w:jc w:val="center"/>
              <w:rPr>
                <w:rFonts w:ascii="Times New Roman" w:hAnsi="Times New Roman"/>
                <w:b/>
                <w:color w:val="000000"/>
                <w:sz w:val="20"/>
              </w:rPr>
            </w:pPr>
            <w:r>
              <w:rPr>
                <w:rFonts w:ascii="Times New Roman" w:hAnsi="Times New Roman"/>
                <w:b/>
                <w:color w:val="000000"/>
                <w:sz w:val="20"/>
              </w:rPr>
              <w:t xml:space="preserve">Wallstraße 16, 10179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Berlin, Germany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+49 89</w:t>
      </w:r>
      <w:r>
        <w:rPr>
          <w:rFonts w:ascii="Times New Roman" w:hAnsi="Times New Roman"/>
          <w:color w:val="000000"/>
          <w:sz w:val="20"/>
        </w:rPr>
        <w:t xml:space="preserve"> </w:t>
      </w:r>
      <w:r>
        <w:rPr>
          <w:rFonts w:ascii="Times New Roman" w:hAnsi="Times New Roman"/>
          <w:b/>
          <w:color w:val="000000"/>
          <w:sz w:val="18"/>
        </w:rPr>
        <w:t>2153 9035</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3736"/>
        <w:gridCol w:w="109"/>
        <w:gridCol w:w="826"/>
        <w:gridCol w:w="109"/>
        <w:gridCol w:w="2791"/>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 par value €0.10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ATAI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br/>
              <w:t>(Nasdaq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8070" w:type="dxa"/>
        <w:jc w:val="left"/>
        <w:tblInd w:w="0" w:type="dxa"/>
        <w:tblLayout w:type="fixed"/>
        <w:tblCellMar>
          <w:top w:w="28" w:type="dxa"/>
          <w:left w:w="28" w:type="dxa"/>
          <w:bottom w:w="28" w:type="dxa"/>
          <w:right w:w="28" w:type="dxa"/>
        </w:tblCellMar>
      </w:tblPr>
      <w:tblGrid>
        <w:gridCol w:w="1848"/>
        <w:gridCol w:w="3476"/>
        <w:gridCol w:w="2213"/>
        <w:gridCol w:w="533"/>
      </w:tblGrid>
      <w:tr>
        <w:trPr/>
        <w:tc>
          <w:tcPr>
            <w:tcW w:w="1848"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848" w:type="dxa"/>
            <w:tcBorders/>
            <w:tcMar>
              <w:top w:w="0" w:type="dxa"/>
              <w:left w:w="0" w:type="dxa"/>
              <w:bottom w:w="0" w:type="dxa"/>
              <w:right w:w="0" w:type="dxa"/>
            </w:tcMar>
            <w:vAlign w:val="center"/>
          </w:tcPr>
          <w:p>
            <w:pPr>
              <w:pStyle w:val="TableContents"/>
              <w:bidi w:val="0"/>
              <w:spacing w:before="0" w:after="283"/>
              <w:ind w:left="0" w:right="0" w:firstLine="182"/>
              <w:jc w:val="left"/>
              <w:rPr>
                <w:rFonts w:ascii="Times New Roman" w:hAnsi="Times New Roman"/>
                <w:color w:val="000000"/>
                <w:sz w:val="18"/>
              </w:rPr>
            </w:pPr>
            <w:r>
              <w:rPr>
                <w:rFonts w:ascii="Times New Roman" w:hAnsi="Times New Roman"/>
                <w:color w:val="000000"/>
                <w:sz w:val="18"/>
              </w:rPr>
              <w:t>Large accelerated filer</w:t>
            </w:r>
          </w:p>
        </w:tc>
        <w:tc>
          <w:tcPr>
            <w:tcW w:w="3476" w:type="dxa"/>
            <w:tcBorders/>
            <w:tcMar>
              <w:top w:w="0" w:type="dxa"/>
              <w:left w:w="0" w:type="dxa"/>
              <w:bottom w:w="0" w:type="dxa"/>
              <w:right w:w="0" w:type="dxa"/>
            </w:tcMar>
            <w:vAlign w:val="center"/>
          </w:tcPr>
          <w:p>
            <w:pPr>
              <w:pStyle w:val="TableContents"/>
              <w:bidi w:val="0"/>
              <w:spacing w:before="0" w:after="283"/>
              <w:ind w:left="0" w:right="0" w:firstLine="3160"/>
              <w:jc w:val="left"/>
              <w:rPr>
                <w:color w:val="000000"/>
              </w:rPr>
            </w:pPr>
            <w:r>
              <w:rPr>
                <w:color w:val="000000"/>
              </w:rPr>
              <w:t>☐</w:t>
            </w:r>
          </w:p>
        </w:tc>
        <w:tc>
          <w:tcPr>
            <w:tcW w:w="2213" w:type="dxa"/>
            <w:tcBorders/>
            <w:tcMar>
              <w:top w:w="0" w:type="dxa"/>
              <w:left w:w="0" w:type="dxa"/>
              <w:bottom w:w="0" w:type="dxa"/>
              <w:right w:w="0" w:type="dxa"/>
            </w:tcMar>
            <w:vAlign w:val="center"/>
          </w:tcPr>
          <w:p>
            <w:pPr>
              <w:pStyle w:val="TableContents"/>
              <w:bidi w:val="0"/>
              <w:spacing w:before="0" w:after="283"/>
              <w:ind w:left="0" w:right="0" w:firstLine="172"/>
              <w:jc w:val="left"/>
              <w:rPr>
                <w:rFonts w:ascii="Times New Roman" w:hAnsi="Times New Roman"/>
                <w:color w:val="000000"/>
                <w:sz w:val="18"/>
              </w:rPr>
            </w:pPr>
            <w:r>
              <w:rPr>
                <w:rFonts w:ascii="Times New Roman" w:hAnsi="Times New Roman"/>
                <w:color w:val="000000"/>
                <w:sz w:val="18"/>
              </w:rPr>
              <w:t>Accelerated filer</w:t>
            </w:r>
          </w:p>
        </w:tc>
        <w:tc>
          <w:tcPr>
            <w:tcW w:w="533" w:type="dxa"/>
            <w:tcBorders/>
            <w:tcMar>
              <w:top w:w="0" w:type="dxa"/>
              <w:left w:w="0" w:type="dxa"/>
              <w:bottom w:w="0" w:type="dxa"/>
              <w:right w:w="0" w:type="dxa"/>
            </w:tcMar>
            <w:vAlign w:val="center"/>
          </w:tcPr>
          <w:p>
            <w:pPr>
              <w:pStyle w:val="TableContents"/>
              <w:bidi w:val="0"/>
              <w:spacing w:before="0" w:after="283"/>
              <w:ind w:left="0" w:right="0" w:firstLine="40"/>
              <w:jc w:val="left"/>
              <w:rPr>
                <w:color w:val="000000"/>
              </w:rPr>
            </w:pPr>
            <w:r>
              <w:rPr>
                <w:color w:val="000000"/>
              </w:rPr>
              <w:t>☐</w:t>
            </w:r>
          </w:p>
        </w:tc>
      </w:tr>
      <w:tr>
        <w:trPr/>
        <w:tc>
          <w:tcPr>
            <w:tcW w:w="1848" w:type="dxa"/>
            <w:tcBorders/>
            <w:tcMar>
              <w:top w:w="0" w:type="dxa"/>
              <w:left w:w="0" w:type="dxa"/>
              <w:bottom w:w="0" w:type="dxa"/>
              <w:right w:w="0" w:type="dxa"/>
            </w:tcMar>
            <w:vAlign w:val="center"/>
          </w:tcPr>
          <w:p>
            <w:pPr>
              <w:pStyle w:val="TableContents"/>
              <w:bidi w:val="0"/>
              <w:spacing w:before="60" w:after="283"/>
              <w:ind w:left="0" w:right="0" w:firstLine="182"/>
              <w:jc w:val="left"/>
              <w:rPr>
                <w:rFonts w:ascii="Times New Roman" w:hAnsi="Times New Roman"/>
                <w:color w:val="000000"/>
                <w:sz w:val="18"/>
              </w:rPr>
            </w:pPr>
            <w:r>
              <w:rPr>
                <w:rFonts w:ascii="Times New Roman" w:hAnsi="Times New Roman"/>
                <w:color w:val="000000"/>
                <w:sz w:val="18"/>
              </w:rPr>
              <w:t>Non-accelerated filer</w:t>
            </w:r>
          </w:p>
        </w:tc>
        <w:tc>
          <w:tcPr>
            <w:tcW w:w="3476" w:type="dxa"/>
            <w:tcBorders/>
            <w:tcMar>
              <w:top w:w="0" w:type="dxa"/>
              <w:left w:w="0" w:type="dxa"/>
              <w:bottom w:w="0" w:type="dxa"/>
              <w:right w:w="0" w:type="dxa"/>
            </w:tcMar>
            <w:vAlign w:val="center"/>
          </w:tcPr>
          <w:p>
            <w:pPr>
              <w:pStyle w:val="TableContents"/>
              <w:bidi w:val="0"/>
              <w:spacing w:before="60" w:after="283"/>
              <w:ind w:left="0" w:right="0" w:firstLine="3160"/>
              <w:jc w:val="left"/>
              <w:rPr>
                <w:color w:val="000000"/>
              </w:rPr>
            </w:pPr>
            <w:r>
              <w:rPr>
                <w:color w:val="000000"/>
              </w:rPr>
              <w:t>☒</w:t>
            </w:r>
          </w:p>
        </w:tc>
        <w:tc>
          <w:tcPr>
            <w:tcW w:w="2213" w:type="dxa"/>
            <w:tcBorders/>
            <w:tcMar>
              <w:top w:w="0" w:type="dxa"/>
              <w:left w:w="0" w:type="dxa"/>
              <w:bottom w:w="0" w:type="dxa"/>
              <w:right w:w="0" w:type="dxa"/>
            </w:tcMar>
            <w:vAlign w:val="center"/>
          </w:tcPr>
          <w:p>
            <w:pPr>
              <w:pStyle w:val="TableContents"/>
              <w:bidi w:val="0"/>
              <w:spacing w:before="60" w:after="283"/>
              <w:ind w:left="0" w:right="0" w:firstLine="172"/>
              <w:jc w:val="left"/>
              <w:rPr>
                <w:rFonts w:ascii="Times New Roman" w:hAnsi="Times New Roman"/>
                <w:color w:val="000000"/>
                <w:sz w:val="18"/>
              </w:rPr>
            </w:pPr>
            <w:r>
              <w:rPr>
                <w:rFonts w:ascii="Times New Roman" w:hAnsi="Times New Roman"/>
                <w:color w:val="000000"/>
                <w:sz w:val="18"/>
              </w:rPr>
              <w:t>Smaller reporting company</w:t>
            </w:r>
          </w:p>
        </w:tc>
        <w:tc>
          <w:tcPr>
            <w:tcW w:w="533" w:type="dxa"/>
            <w:tcBorders/>
            <w:tcMar>
              <w:top w:w="0" w:type="dxa"/>
              <w:left w:w="0" w:type="dxa"/>
              <w:bottom w:w="0" w:type="dxa"/>
              <w:right w:w="0" w:type="dxa"/>
            </w:tcMar>
            <w:vAlign w:val="center"/>
          </w:tcPr>
          <w:p>
            <w:pPr>
              <w:pStyle w:val="TableContents"/>
              <w:bidi w:val="0"/>
              <w:spacing w:before="60" w:after="283"/>
              <w:ind w:left="0" w:right="0" w:firstLine="172"/>
              <w:jc w:val="left"/>
              <w:rPr>
                <w:color w:val="000000"/>
              </w:rPr>
            </w:pPr>
            <w:r>
              <w:rPr>
                <w:color w:val="000000"/>
              </w:rPr>
              <w:t>☒</w:t>
            </w:r>
          </w:p>
        </w:tc>
      </w:tr>
      <w:tr>
        <w:trPr/>
        <w:tc>
          <w:tcPr>
            <w:tcW w:w="1848" w:type="dxa"/>
            <w:tcBorders/>
            <w:tcMar>
              <w:top w:w="0" w:type="dxa"/>
              <w:left w:w="0" w:type="dxa"/>
              <w:bottom w:w="0" w:type="dxa"/>
              <w:right w:w="0" w:type="dxa"/>
            </w:tcMar>
            <w:vAlign w:val="center"/>
          </w:tcPr>
          <w:p>
            <w:pPr>
              <w:pStyle w:val="TableContents"/>
              <w:bidi w:val="0"/>
              <w:spacing w:before="60" w:after="283"/>
              <w:jc w:val="left"/>
              <w:rPr/>
            </w:pPr>
            <w:r>
              <w:rPr/>
              <w:t> </w:t>
            </w:r>
          </w:p>
        </w:tc>
        <w:tc>
          <w:tcPr>
            <w:tcW w:w="3476" w:type="dxa"/>
            <w:tcBorders/>
            <w:tcMar>
              <w:top w:w="0" w:type="dxa"/>
              <w:left w:w="0" w:type="dxa"/>
              <w:bottom w:w="0" w:type="dxa"/>
              <w:right w:w="0" w:type="dxa"/>
            </w:tcMar>
            <w:vAlign w:val="center"/>
          </w:tcPr>
          <w:p>
            <w:pPr>
              <w:pStyle w:val="TableContents"/>
              <w:bidi w:val="0"/>
              <w:spacing w:before="60" w:after="283"/>
              <w:ind w:left="0" w:right="0" w:firstLine="3154"/>
              <w:jc w:val="left"/>
              <w:rPr/>
            </w:pPr>
            <w:r>
              <w:rPr/>
              <w:t> </w:t>
            </w:r>
          </w:p>
        </w:tc>
        <w:tc>
          <w:tcPr>
            <w:tcW w:w="2213" w:type="dxa"/>
            <w:tcBorders/>
            <w:tcMar>
              <w:top w:w="0" w:type="dxa"/>
              <w:left w:w="0" w:type="dxa"/>
              <w:bottom w:w="0" w:type="dxa"/>
              <w:right w:w="0" w:type="dxa"/>
            </w:tcMar>
            <w:vAlign w:val="center"/>
          </w:tcPr>
          <w:p>
            <w:pPr>
              <w:pStyle w:val="TableContents"/>
              <w:bidi w:val="0"/>
              <w:spacing w:before="60" w:after="283"/>
              <w:ind w:left="0" w:right="0" w:firstLine="172"/>
              <w:jc w:val="left"/>
              <w:rPr>
                <w:rFonts w:ascii="Times New Roman" w:hAnsi="Times New Roman"/>
                <w:color w:val="000000"/>
                <w:sz w:val="18"/>
              </w:rPr>
            </w:pPr>
            <w:r>
              <w:rPr>
                <w:rFonts w:ascii="Times New Roman" w:hAnsi="Times New Roman"/>
                <w:color w:val="000000"/>
                <w:sz w:val="18"/>
              </w:rPr>
              <w:t>Emerging growth company</w:t>
            </w:r>
          </w:p>
        </w:tc>
        <w:tc>
          <w:tcPr>
            <w:tcW w:w="533" w:type="dxa"/>
            <w:tcBorders/>
            <w:tcMar>
              <w:top w:w="0" w:type="dxa"/>
              <w:left w:w="0" w:type="dxa"/>
              <w:bottom w:w="0" w:type="dxa"/>
              <w:right w:w="0" w:type="dxa"/>
            </w:tcMar>
            <w:vAlign w:val="center"/>
          </w:tcPr>
          <w:p>
            <w:pPr>
              <w:pStyle w:val="TableContents"/>
              <w:bidi w:val="0"/>
              <w:spacing w:before="60" w:after="283"/>
              <w:ind w:left="0" w:right="0" w:firstLine="172"/>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May 9, 2025, the registrant had 200,337,609</w:t>
      </w:r>
      <w:r>
        <w:rPr>
          <w:rFonts w:ascii="Times New Roman" w:hAnsi="Times New Roman"/>
          <w:color w:val="000000"/>
          <w:sz w:val="20"/>
        </w:rPr>
        <w:t xml:space="preserve"> </w:t>
      </w:r>
      <w:r>
        <w:rPr>
          <w:rFonts w:ascii="Times New Roman" w:hAnsi="Times New Roman"/>
          <w:color w:val="000000"/>
          <w:sz w:val="18"/>
        </w:rPr>
        <w:t>common shares, par value €0.10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Life Sciences N.V.</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8939"/>
        <w:gridCol w:w="512"/>
      </w:tblGrid>
      <w:tr>
        <w:trPr/>
        <w:tc>
          <w:tcPr>
            <w:tcW w:w="754" w:type="dxa"/>
            <w:tcBorders/>
            <w:vAlign w:val="center"/>
          </w:tcPr>
          <w:p>
            <w:pPr>
              <w:pStyle w:val="TableContents"/>
              <w:bidi w:val="0"/>
              <w:spacing w:before="0" w:after="283"/>
              <w:jc w:val="left"/>
              <w:rPr>
                <w:sz w:val="4"/>
                <w:szCs w:val="4"/>
              </w:rPr>
            </w:pPr>
            <w:r>
              <w:rPr>
                <w:sz w:val="4"/>
                <w:szCs w:val="4"/>
              </w:rPr>
            </w:r>
          </w:p>
        </w:tc>
        <w:tc>
          <w:tcPr>
            <w:tcW w:w="893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b/>
                  <w:color w:val="0000FF"/>
                  <w:sz w:val="20"/>
                  <w:u w:val="single"/>
                </w:rPr>
                <w:t>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 </w:t>
            </w:r>
            <w:hyperlink w:anchor="part_1_financial_information">
              <w:r>
                <w:rPr>
                  <w:rStyle w:val="InternetLink"/>
                  <w:rFonts w:ascii="Times New Roman" w:hAnsi="Times New Roman"/>
                  <w:b/>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 as of March 31,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operations">
              <w:r>
                <w:rPr>
                  <w:rStyle w:val="InternetLink"/>
                  <w:rFonts w:ascii="Times New Roman" w:hAnsi="Times New Roman"/>
                  <w:color w:val="0000FF"/>
                  <w:sz w:val="20"/>
                  <w:u w:val="single"/>
                </w:rPr>
                <w:t>Condensed Consolidated Statements of Operations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Income (Loss)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nci_and_sose">
              <w:r>
                <w:rPr>
                  <w:rStyle w:val="InternetLink"/>
                  <w:rFonts w:ascii="Times New Roman" w:hAnsi="Times New Roman"/>
                  <w:color w:val="0000FF"/>
                  <w:sz w:val="20"/>
                  <w:u w:val="single"/>
                </w:rPr>
                <w:t>Condensed Consolidated Statements of Changes in Stockholders’ Equity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the Three Months Ended March 31,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otnotes">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market_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II. </w:t>
            </w:r>
            <w:hyperlink w:anchor="part_ii_other_information">
              <w:r>
                <w:rPr>
                  <w:rStyle w:val="InternetLink"/>
                  <w:rFonts w:ascii="Times New Roman" w:hAnsi="Times New Roman"/>
                  <w:b/>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_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2_sales_of_securiti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3_default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4_mine_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CAUTIONARY NOTE REGARDING FORWARD LOOKING STATEMENTS</w:t>
      </w:r>
    </w:p>
    <w:p>
      <w:pPr>
        <w:pStyle w:val="TextBody"/>
        <w:bidi w:val="0"/>
        <w:spacing w:before="15"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for the quarterly period ended March 31, 2025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Quarterly Report other than statements of historical fact are forward-looking statements, including without limitation statements regarding our future operating results and financial position; the success, cost, and timing of development of our product candidates, including the progress of preclinical studies and clinical trials and related milestones; the commercialization of our current product candidates and any other product candidates we may identify and pursue, if approved, including our ability to successfully build a specialty sales force and commercial infrastructure to market our current product candidates and any other product candidates we may identify and pursue; the timing of and our ability to obtain and maintain regulatory approvals; our business strategy and plans, including the benefits of our corporate restructuring; potential acquisitions, partnerships and other strategic arrangements; the ability to generate revenue from any current or future licensing agreements and other strategic arrangements, the sufficiency of our cash and cash equivalents and short-term securities to fund our operations; and the plans and objectives of management for future operations and capital expenditures. The words “believe,” “may,” “will,” “estimate,” “continue,” “anticipate,” “intend,” “expect,” “could,” “would,” “project,” “plan,” “potentially,” “preliminary,” “likely,” and similar expressions are intended to identify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we are a clinical-stage biopharmaceutical company and have incurred significant losses since our inception, and we expect to incur losses for the foreseeable future and may never be profitable; if we are unable to obtain funding when needed and on acceptable terms, we could be forced to delay, limit or discontinue our product candidate development efforts; our limited operating history may make it difficult for you to evaluate the success of our business and to assess our future viability; we rely on third parties to assist in conducting our clinical trials and some aspects of our research and preclinical testing; we currently rely on qualified therapists working at third-party clinical trial sites to administer certain of our product candidates in our clinical trials and we expect this to continue upon approval, if any, of our current or future product candidates, and if third-party sites fail to recruit and retain a sufficient number of therapists or effectively manage their therapists, our business, financial condition and results of operations would be materially harmed; our product candidates are in preclinical or clinical development, which is a lengthy and expensive process with uncertain outcomes, and we cannot give any assurance that any of our product candidates will be successfully developed and/or receive regulatory approval, which is necessary before they can be commercialized; research and development of drugs targeting the central nervous system, or CNS, is particularly difficult, and it can be difficult to predict and understand why a drug has a positive effect on some patients but not others, which may reduce the likelihood our product candidates are ultimately approved and therefore may have a material adverse effect on our business and operating results; the production and sale of our product candidates may be considered illegal or may otherwise be restricted due to the use of controlled substances, which may also have consequences for the legality of investments from foreign jurisdictions and therefore we may not be successful in commercializing our product candidates in such jurisdictions, which will adversely affect our business, financial condition and results of operations; we face significant competition in an environment of rapid technological and scientific change, and there is a possibility that our competitors may achieve regulatory approval before we do or develop therapies that are safer, more advanced or more effective than ours, which may negatively impact our ability to successfully market or commercialize any product candidates we may develop and ultimately harm our financial condition; if we are unable to obtain and maintain sufficient intellectual property protection for our existing product candidates or any other product candidates that we may identify, or if the scope of the intellectual property protection we currently have or obtain in the future is not sufficiently broad, our competitors could develop and commercialize product candidates similar or identical to ours, and our ability to successfully commercialize our existing product candidates and any other product candidates that we may pursue may be impaired; third parties may claim that we are infringing, misappropriating or otherwise violating their intellectual property rights, the outcome of which would be uncertain and may prevent or delay our development and commercialization efforts; our future success depends on our ability to retain key employees, directors, consultants and advisors and to attract, retain and motivate qualified personnel; if we fail to maintain an effective system of disclosure controls and internal control over financial reporting our ability to produce timely and accurate financial statements or comply with applicable regulations could be impaired; our business is subject to economic, political, regulatory and other risks associated with international operations; a pandemic, epidemic, or outbreak of an infectious disease, such as the COVID-19 pandemic, may materially and adversely affect our business, including our preclinical studies, clinical trials, trial sites, third parties on whom we rely, our supply chain, our ability to raise capital, our ability to conduct regular business and our financial results, and other risks, uncertainties, and assumptions described under “Risk Factors” in Item 1A of Part I, “Management’s Discussion and Analysis of Financial Condition and Results of Operations” in Item 7 of Part II and elsewhere in our Form 10-K for the year ended December 31, 2024 (the "Form 10-K"), as further updated in “Management’s Discussion and Analysis of Financial Condition and Results of Operations” in Item 2 of this Quarterly Report, and in our subsequent filings with the Securities and Exchange Commission (“SEC”).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the context otherwise requires, all references in this Quarterly Report to “we,” “us,” “our,” “atai” or the “Company” refer to ATAI Life Sciences N.V. and its consolidated subsidiaries. References to "Quarterly Report" herein refer to this Quarterly Report on Form 10-Q for the quarterly period ended March 31, 2025 and references to “Form 10-K” and “Annual Report” herein refer to our Annual Report on Form 10-K for the fiscal year ended December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investor relations website at </w:t>
      </w:r>
      <w:r>
        <w:rPr>
          <w:rFonts w:ascii="Times New Roman" w:hAnsi="Times New Roman"/>
          <w:i/>
          <w:color w:val="000000"/>
          <w:sz w:val="20"/>
        </w:rPr>
        <w:t>ir.atai.com</w:t>
      </w:r>
      <w:r>
        <w:rPr>
          <w:rFonts w:ascii="Times New Roman" w:hAnsi="Times New Roman"/>
          <w:color w:val="000000"/>
          <w:sz w:val="20"/>
        </w:rPr>
        <w:t xml:space="preserve"> as soon as reasonably practicable after filing such material with the SEC.</w:t>
      </w:r>
    </w:p>
    <w:p>
      <w:pPr>
        <w:pStyle w:val="TextBody"/>
        <w:bidi w:val="0"/>
        <w:spacing w:before="220" w:after="283"/>
        <w:jc w:val="left"/>
        <w:rPr>
          <w:rFonts w:ascii="Times New Roman" w:hAnsi="Times New Roman"/>
          <w:sz w:val="20"/>
        </w:rPr>
      </w:pPr>
      <w:r>
        <w:rPr>
          <w:rFonts w:ascii="Times New Roman" w:hAnsi="Times New Roman"/>
          <w:color w:val="000000"/>
          <w:sz w:val="20"/>
        </w:rPr>
        <w:t xml:space="preserve">We may announce material business and financial information to our investors using our investor relations website at </w:t>
      </w:r>
      <w:r>
        <w:rPr>
          <w:rFonts w:ascii="Times New Roman" w:hAnsi="Times New Roman"/>
          <w:i/>
          <w:color w:val="000000"/>
          <w:sz w:val="20"/>
        </w:rPr>
        <w:t>ir.atai.com</w:t>
      </w:r>
      <w:r>
        <w:rPr>
          <w:rFonts w:ascii="Times New Roman" w:hAnsi="Times New Roman"/>
          <w:color w:val="000000"/>
          <w:sz w:val="20"/>
        </w:rPr>
        <w:t>. We therefore encourage investors and others interested in atai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1_financial_information"/>
      <w:bookmarkEnd w:id="3"/>
      <w:r>
        <w:rPr>
          <w:rFonts w:ascii="Times New Roman" w:hAnsi="Times New Roman"/>
          <w:b/>
          <w:color w:val="000000"/>
          <w:sz w:val="20"/>
        </w:rPr>
        <w:t>PART I - FINANCIAL INFORMATION</w:t>
      </w:r>
    </w:p>
    <w:p>
      <w:pPr>
        <w:pStyle w:val="TextBody"/>
        <w:bidi w:val="0"/>
        <w:spacing w:before="100" w:after="283"/>
        <w:jc w:val="left"/>
        <w:rPr>
          <w:rFonts w:ascii="Times New Roman" w:hAnsi="Times New Roman"/>
          <w:sz w:val="20"/>
        </w:rPr>
      </w:pPr>
      <w:bookmarkStart w:id="4" w:name="item_1_financial_statement"/>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LIFE SCIENCES N.V.</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6"/>
        <w:gridCol w:w="546"/>
        <w:gridCol w:w="196"/>
        <w:gridCol w:w="751"/>
        <w:gridCol w:w="166"/>
        <w:gridCol w:w="146"/>
        <w:gridCol w:w="203"/>
        <w:gridCol w:w="779"/>
        <w:gridCol w:w="512"/>
      </w:tblGrid>
      <w:tr>
        <w:trPr/>
        <w:tc>
          <w:tcPr>
            <w:tcW w:w="69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17,505</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Securities carried at fair value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44,825</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restricted cash for other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7,795</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80,125</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 held at fair value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28,887</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42,079</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3,246</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Digital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159,387</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Liabilities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9,847</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convertible promissory notes and derivative liability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convertible promissory notes and derivative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24,951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liability -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portion of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14,133</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42,833</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€0.10</w:t>
            </w:r>
            <w:r>
              <w:rPr>
                <w:rFonts w:ascii="Times New Roman" w:hAnsi="Times New Roman"/>
                <w:color w:val="000000"/>
                <w:sz w:val="20"/>
              </w:rPr>
              <w:t> </w:t>
            </w:r>
            <w:r>
              <w:rPr>
                <w:rFonts w:ascii="Times New Roman" w:hAnsi="Times New Roman"/>
                <w:color w:val="000000"/>
                <w:sz w:val="16"/>
              </w:rPr>
              <w:t>par value ($0.11</w:t>
            </w:r>
            <w:r>
              <w:rPr>
                <w:rFonts w:ascii="Times New Roman" w:hAnsi="Times New Roman"/>
                <w:color w:val="000000"/>
                <w:sz w:val="20"/>
              </w:rPr>
              <w:t> </w:t>
            </w:r>
            <w:r>
              <w:rPr>
                <w:rFonts w:ascii="Times New Roman" w:hAnsi="Times New Roman"/>
                <w:color w:val="000000"/>
                <w:sz w:val="16"/>
              </w:rPr>
              <w:t>and $0.10</w:t>
            </w:r>
            <w:r>
              <w:rPr>
                <w:rFonts w:ascii="Times New Roman" w:hAnsi="Times New Roman"/>
                <w:color w:val="000000"/>
                <w:sz w:val="20"/>
              </w:rPr>
              <w:t> </w:t>
            </w:r>
            <w:r>
              <w:rPr>
                <w:rFonts w:ascii="Times New Roman" w:hAnsi="Times New Roman"/>
                <w:color w:val="000000"/>
                <w:sz w:val="16"/>
              </w:rPr>
              <w:t>par value at March 31, 2025 and December 31, 2024, respectively); 750,000,000</w:t>
            </w:r>
            <w:r>
              <w:rPr>
                <w:rFonts w:ascii="Times New Roman" w:hAnsi="Times New Roman"/>
                <w:color w:val="000000"/>
                <w:sz w:val="20"/>
              </w:rPr>
              <w:t> </w:t>
            </w:r>
            <w:r>
              <w:rPr>
                <w:rFonts w:ascii="Times New Roman" w:hAnsi="Times New Roman"/>
                <w:color w:val="000000"/>
                <w:sz w:val="16"/>
              </w:rPr>
              <w:t>shares authorized at March 31, 2025 and December 31, 2024, respectively; 199,775,512</w:t>
            </w:r>
            <w:r>
              <w:rPr>
                <w:rFonts w:ascii="Times New Roman" w:hAnsi="Times New Roman"/>
                <w:color w:val="000000"/>
                <w:sz w:val="20"/>
              </w:rPr>
              <w:t> </w:t>
            </w:r>
            <w:r>
              <w:rPr>
                <w:rFonts w:ascii="Times New Roman" w:hAnsi="Times New Roman"/>
                <w:color w:val="000000"/>
                <w:sz w:val="16"/>
              </w:rPr>
              <w:t>and 167,959,752</w:t>
            </w:r>
            <w:r>
              <w:rPr>
                <w:rFonts w:ascii="Times New Roman" w:hAnsi="Times New Roman"/>
                <w:color w:val="000000"/>
                <w:sz w:val="20"/>
              </w:rPr>
              <w:t> </w:t>
            </w:r>
            <w:r>
              <w:rPr>
                <w:rFonts w:ascii="Times New Roman" w:hAnsi="Times New Roman"/>
                <w:color w:val="000000"/>
                <w:sz w:val="16"/>
              </w:rPr>
              <w:t>shares issued and outstanding at March 31, 2025 and December 31, 2024, respectively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18,785</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816,185</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(700,207</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stockholders’ equity attributable to ATAI Life Sciences N.V.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116,297</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116,554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159,387</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LIFE SCIENCES N.V.</w:t>
      </w:r>
    </w:p>
    <w:p>
      <w:pPr>
        <w:pStyle w:val="TextBody"/>
        <w:bidi w:val="0"/>
        <w:spacing w:before="4" w:after="283"/>
        <w:jc w:val="center"/>
        <w:rPr>
          <w:rFonts w:ascii="Times New Roman" w:hAnsi="Times New Roman"/>
          <w:sz w:val="20"/>
        </w:rPr>
      </w:pPr>
      <w:bookmarkStart w:id="6" w:name="consolidated_statement_of_operations"/>
      <w:bookmarkEnd w:id="6"/>
      <w:r>
        <w:rPr>
          <w:rFonts w:ascii="Times New Roman" w:hAnsi="Times New Roman"/>
          <w:b/>
          <w:color w:val="000000"/>
          <w:sz w:val="20"/>
        </w:rPr>
        <w:t>CONDENSED CONSOLIDATED STATEMEN</w:t>
      </w:r>
      <w:bookmarkStart w:id="7" w:name="statementsof_operations"/>
      <w:bookmarkEnd w:id="7"/>
      <w:r>
        <w:rPr>
          <w:rFonts w:ascii="Times New Roman" w:hAnsi="Times New Roman"/>
          <w:b/>
          <w:color w:val="000000"/>
          <w:sz w:val="20"/>
        </w:rPr>
        <w:t>TS OF OPERATIONS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6" w:after="283"/>
        <w:jc w:val="left"/>
        <w:rPr/>
      </w:pPr>
      <w:r>
        <w:rPr/>
        <w:t> </w:t>
      </w:r>
    </w:p>
    <w:tbl>
      <w:tblPr>
        <w:tblW w:w="9379" w:type="dxa"/>
        <w:jc w:val="left"/>
        <w:tblInd w:w="0" w:type="dxa"/>
        <w:tblLayout w:type="fixed"/>
        <w:tblCellMar>
          <w:top w:w="28" w:type="dxa"/>
          <w:left w:w="28" w:type="dxa"/>
          <w:bottom w:w="28" w:type="dxa"/>
          <w:right w:w="28" w:type="dxa"/>
        </w:tblCellMar>
      </w:tblPr>
      <w:tblGrid>
        <w:gridCol w:w="5206"/>
        <w:gridCol w:w="546"/>
        <w:gridCol w:w="211"/>
        <w:gridCol w:w="1141"/>
        <w:gridCol w:w="166"/>
        <w:gridCol w:w="146"/>
        <w:gridCol w:w="211"/>
        <w:gridCol w:w="1141"/>
        <w:gridCol w:w="611"/>
      </w:tblGrid>
      <w:tr>
        <w:trPr/>
        <w:tc>
          <w:tcPr>
            <w:tcW w:w="52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investments in equity method investees, net of tax</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ATAI Life Sciences N.V. </w:t>
              <w:br/>
              <w:t>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ATAI Life Sciences N.V.</w:t>
              <w:br/>
              <w:t>   stockholders —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attributable </w:t>
              <w:br/>
              <w:t>   to ATAI Life Sciences N.V. stockholders —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176,271,176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158,891,067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LIFE SCIENCES N.V.</w:t>
      </w:r>
    </w:p>
    <w:p>
      <w:pPr>
        <w:pStyle w:val="TextBody"/>
        <w:bidi w:val="0"/>
        <w:spacing w:before="4" w:after="283"/>
        <w:jc w:val="center"/>
        <w:rPr>
          <w:rFonts w:ascii="Times New Roman" w:hAnsi="Times New Roman"/>
          <w:b/>
          <w:color w:val="000000"/>
          <w:sz w:val="20"/>
        </w:rPr>
      </w:pPr>
      <w:bookmarkStart w:id="8" w:name="comprehensive_loss"/>
      <w:bookmarkEnd w:id="8"/>
      <w:r>
        <w:rPr>
          <w:rFonts w:ascii="Times New Roman" w:hAnsi="Times New Roman"/>
          <w:b/>
          <w:color w:val="000000"/>
          <w:sz w:val="20"/>
        </w:rPr>
        <w:t>CONDENSED CONSOLIDATED STATEMENTS OF COMPREHENSIVE INCOME (LOSS)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70"/>
        <w:gridCol w:w="346"/>
        <w:gridCol w:w="265"/>
        <w:gridCol w:w="927"/>
        <w:gridCol w:w="208"/>
        <w:gridCol w:w="183"/>
        <w:gridCol w:w="265"/>
        <w:gridCol w:w="927"/>
        <w:gridCol w:w="414"/>
      </w:tblGrid>
      <w:tr>
        <w:trPr/>
        <w:tc>
          <w:tcPr>
            <w:tcW w:w="66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net of tax attributable to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ATAI Life Sciences N.V.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(27,111</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tatements_of_nci_and_sose"/>
      <w:bookmarkEnd w:id="9"/>
      <w:r>
        <w:rPr>
          <w:rFonts w:ascii="Times New Roman" w:hAnsi="Times New Roman"/>
          <w:b/>
          <w:color w:val="000000"/>
          <w:sz w:val="20"/>
        </w:rPr>
        <w:t>ATAI LIFE SCIENCES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47"/>
        <w:gridCol w:w="146"/>
        <w:gridCol w:w="146"/>
        <w:gridCol w:w="841"/>
        <w:gridCol w:w="146"/>
        <w:gridCol w:w="146"/>
        <w:gridCol w:w="181"/>
        <w:gridCol w:w="511"/>
        <w:gridCol w:w="146"/>
        <w:gridCol w:w="146"/>
        <w:gridCol w:w="181"/>
        <w:gridCol w:w="586"/>
        <w:gridCol w:w="151"/>
        <w:gridCol w:w="146"/>
        <w:gridCol w:w="224"/>
        <w:gridCol w:w="692"/>
        <w:gridCol w:w="151"/>
        <w:gridCol w:w="146"/>
        <w:gridCol w:w="181"/>
        <w:gridCol w:w="631"/>
        <w:gridCol w:w="151"/>
        <w:gridCol w:w="146"/>
        <w:gridCol w:w="195"/>
        <w:gridCol w:w="634"/>
        <w:gridCol w:w="151"/>
        <w:gridCol w:w="146"/>
        <w:gridCol w:w="255"/>
        <w:gridCol w:w="616"/>
        <w:gridCol w:w="151"/>
        <w:gridCol w:w="146"/>
        <w:gridCol w:w="182"/>
        <w:gridCol w:w="589"/>
        <w:gridCol w:w="198"/>
      </w:tblGrid>
      <w:tr>
        <w:trPr/>
        <w:tc>
          <w:tcPr>
            <w:tcW w:w="1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Attributable to</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ATAI Life Sciences N.V.</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166,026,396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794,787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(550,938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242,962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244,316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restricted stock units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(27,378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166,274,426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800,520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(577,651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223,257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58"/>
        <w:gridCol w:w="146"/>
        <w:gridCol w:w="146"/>
        <w:gridCol w:w="841"/>
        <w:gridCol w:w="146"/>
        <w:gridCol w:w="146"/>
        <w:gridCol w:w="181"/>
        <w:gridCol w:w="511"/>
        <w:gridCol w:w="146"/>
        <w:gridCol w:w="146"/>
        <w:gridCol w:w="181"/>
        <w:gridCol w:w="586"/>
        <w:gridCol w:w="151"/>
        <w:gridCol w:w="146"/>
        <w:gridCol w:w="224"/>
        <w:gridCol w:w="692"/>
        <w:gridCol w:w="151"/>
        <w:gridCol w:w="146"/>
        <w:gridCol w:w="181"/>
        <w:gridCol w:w="631"/>
        <w:gridCol w:w="151"/>
        <w:gridCol w:w="146"/>
        <w:gridCol w:w="193"/>
        <w:gridCol w:w="626"/>
        <w:gridCol w:w="151"/>
        <w:gridCol w:w="146"/>
        <w:gridCol w:w="299"/>
        <w:gridCol w:w="572"/>
        <w:gridCol w:w="151"/>
        <w:gridCol w:w="146"/>
        <w:gridCol w:w="181"/>
        <w:gridCol w:w="588"/>
        <w:gridCol w:w="199"/>
      </w:tblGrid>
      <w:tr>
        <w:trPr/>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Attributable to</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ATAI Life Sciences N.V.</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167,959,752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816,185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(700,207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116,554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627,655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upon restricted stock units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 xml:space="preserve">Issuance of common shares, net of issuance costs of </w:t>
              <w:br/>
              <w:t>    $4.1</w:t>
            </w:r>
            <w:r>
              <w:rPr>
                <w:rFonts w:ascii="Times New Roman" w:hAnsi="Times New Roman"/>
                <w:color w:val="000000"/>
                <w:sz w:val="20"/>
              </w:rPr>
              <w:t> </w:t>
            </w:r>
            <w:r>
              <w:rPr>
                <w:rFonts w:ascii="Times New Roman" w:hAnsi="Times New Roman"/>
                <w:color w:val="000000"/>
                <w:sz w:val="14"/>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30,119,048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199,775,512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875,718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(726,638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152,053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152,274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LIFE SCIENCES N.V.</w:t>
      </w:r>
    </w:p>
    <w:p>
      <w:pPr>
        <w:pStyle w:val="TextBody"/>
        <w:bidi w:val="0"/>
        <w:jc w:val="center"/>
        <w:rPr>
          <w:rFonts w:ascii="Times New Roman" w:hAnsi="Times New Roman"/>
          <w:b/>
          <w:color w:val="000000"/>
          <w:sz w:val="20"/>
        </w:rPr>
      </w:pPr>
      <w:bookmarkStart w:id="10" w:name="cash_flows"/>
      <w:bookmarkEnd w:id="10"/>
      <w:r>
        <w:rPr>
          <w:rFonts w:ascii="Times New Roman" w:hAnsi="Times New Roman"/>
          <w:b/>
          <w:color w:val="000000"/>
          <w:sz w:val="20"/>
        </w:rPr>
        <w:t>CONDENSED CONSOLIDATED STATEMENTS OF CASH FLOWS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 w:after="283"/>
        <w:jc w:val="center"/>
        <w:rPr/>
      </w:pPr>
      <w:r>
        <w:rPr/>
        <w:t> </w:t>
      </w:r>
    </w:p>
    <w:p>
      <w:pPr>
        <w:pStyle w:val="TextBody"/>
        <w:bidi w:val="0"/>
        <w:jc w:val="left"/>
        <w:rPr/>
      </w:pPr>
      <w:r>
        <w:rPr/>
        <w:t> </w:t>
      </w:r>
    </w:p>
    <w:tbl>
      <w:tblPr>
        <w:tblW w:w="7746" w:type="dxa"/>
        <w:jc w:val="left"/>
        <w:tblInd w:w="0" w:type="dxa"/>
        <w:tblLayout w:type="fixed"/>
        <w:tblCellMar>
          <w:top w:w="28" w:type="dxa"/>
          <w:left w:w="28" w:type="dxa"/>
          <w:bottom w:w="28" w:type="dxa"/>
          <w:right w:w="28" w:type="dxa"/>
        </w:tblCellMar>
      </w:tblPr>
      <w:tblGrid>
        <w:gridCol w:w="4681"/>
        <w:gridCol w:w="146"/>
        <w:gridCol w:w="237"/>
        <w:gridCol w:w="730"/>
        <w:gridCol w:w="198"/>
        <w:gridCol w:w="191"/>
        <w:gridCol w:w="237"/>
        <w:gridCol w:w="730"/>
        <w:gridCol w:w="59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(27,378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Depreciation and amortization of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change in the fair value of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change in the fair value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foreign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Losses from investments in equity method investees,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(22,573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and maturities of securities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43,841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securities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(21,364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asset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short-term convertible notes receivable and warrant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capitalized internal-use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(11,014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11,471</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shares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equity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common stock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59,605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foreign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30,782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45,034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58,287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33,867</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 of noncash investing and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Right of use asset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C0C0E"/>
          <w:sz w:val="20"/>
        </w:rPr>
        <w:t>See accompanying Notes to</w:t>
      </w:r>
      <w:r>
        <w:rPr>
          <w:rFonts w:ascii="Times New Roman" w:hAnsi="Times New Roman"/>
          <w:color w:val="212121"/>
          <w:sz w:val="20"/>
        </w:rPr>
        <w:t xml:space="preserve"> </w:t>
      </w:r>
      <w:r>
        <w:rPr>
          <w:rFonts w:ascii="Times New Roman" w:hAnsi="Times New Roman"/>
          <w:i/>
          <w:color w:val="212121"/>
          <w:sz w:val="20"/>
        </w:rPr>
        <w:t>the unaudited Condensed Consolidated Financial S</w:t>
      </w:r>
      <w:r>
        <w:rPr>
          <w:rFonts w:ascii="Times New Roman" w:hAnsi="Times New Roman"/>
          <w:i/>
          <w:color w:val="0C0C0E"/>
          <w:sz w:val="20"/>
        </w:rPr>
        <w:t>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ATAI LIFE SCIENCES N.V.</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4"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bookmarkStart w:id="11" w:name="footnotes"/>
      <w:bookmarkEnd w:id="11"/>
      <w:r>
        <w:rPr>
          <w:rFonts w:ascii="Times New Roman" w:hAnsi="Times New Roman"/>
          <w:b/>
          <w:color w:val="000000"/>
          <w:sz w:val="20"/>
        </w:rPr>
        <w:t>1. Or</w:t>
      </w:r>
      <w:bookmarkStart w:id="12" w:name="notes"/>
      <w:bookmarkEnd w:id="12"/>
      <w:r>
        <w:rPr>
          <w:rFonts w:ascii="Times New Roman" w:hAnsi="Times New Roman"/>
          <w:b/>
          <w:color w:val="000000"/>
          <w:sz w:val="20"/>
        </w:rPr>
        <w:t>ganization and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ATAI Life Sciences N.V. (“atai”, "Company"), headquartered in Berlin, Germany is the parent company of ATAI Life Sciences AG and, along with its subsidiaries, is a clinical-stage biopharmaceutical company aiming to transform the treatment of mental health disorders. Founded in 2018, atai emerged from the urgent need for better mental health solutions for patients who are under-served by current treatment options. The Company is advancing a pipeline of interventional psychiatric product candidates designed to address the complex nature of mental health disorders. The Company believes that these investigational compounds have the potential to become fast-acting, durable, and commercially scalable therapies for mental health patients in need of new treatment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research is focused on developing rapid-acting, effective and durable mental health treatments that can deliver large-scale patient impact. The Company is committed to leading a new era of mental health treatment – one that not only offers relief from symptoms, but the possibility of an improved quality of life and lasting change. The Company pursues this in two ways: the Company develops novel product candidates in-house and the Company makes strategic investments in companies developing promising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built a diversified pipeline of drug and discovery development programs, including psychedelic and nonpsychedelic compounds. Psychedelics are emerging as novel therapies for mental health disorders, such as depression and, with growing scientific support, recent regulatory advancements and increasing patient and physician acceptance. There is a growing body of clinical evidence that supports the development of psychedelics, which the Company believes may have potential therapeutic benefits, such as a rapid onset of effect and sustained efficacy after a short-course of administration. The Company believes these programs, which include new molecular entities as well as variants of known compounds with unique pharmacology, have the potential to address unmet needs in mental health disorders.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programs vary across stage of development, targeted indication and proposed mechanism of action, which the Company believes will improve the commercial potential and risk profile of our pipeline in the aggregate. The Company also prioritizes the development of, and investments in companies who are developing, compounds and compound classes that have shown potential for efficacy and safety in prior clinical trials or observational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clinical stage companies in the biotechnology industry, including, but not limited to, development by competitors of new technological innovations, dependence on key personnel, third-party clinical research organizations and manufacturers, protection of proprietary intellectual property and technology, compliance with government regulations and the ability to secure additional capital to fund operations. Therapeutic candidates currently under development will require significant additional research and development ("R&amp;D") efforts, including preclinical and clinical testing and regulatory approval, prior to commercialization. These efforts require significant amounts of capital, adequate personnel and infrastructure and extensive compliance-reporting capabilities. Even if the Company’s therapeutic development efforts are successful, it is uncertain when, if ever, the Company will realize revenue from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IntelGenx Corp.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the Company acquired all of the issued and outstanding shares of IntelGenx Corp. (“IGX”), a subsidiary of IntelGenx Technologies Corp. (“IntelGenx”). IntelGenx is a drug delivery company focused on the development and manufacturing of novel oral thin film products for the pharmaceutical market and for the Company's product candidates, VLS-01. The acquisition was structured as a credit bid, whereby the Company agreed that its senior secured debt in IGX was discharged in exchange for IGX shares. No Company equity or cash was exchanged in connection with this transaction.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since its inception. As of March 31, 2025, the Company had cash and cash equivalents of $48.3 million, restricted cash of $10.0 million, and short-term securities of $49.9 million and its accumulated deficit was $726.6 million. The Company has historically financed its operations through the sale of equity securities, debt financings, sale of convertible notes and revenue generated from licensing and collaboration arrangements. The Company has not generated any revenues to date from the sale of its core psychedelic product candidates or non-psychedelic product candidates and does not anticipate generating any revenues from the sale of either unless and until it successfully completes development and obtains regulatory approval to market its product candidates. The Company recognizes revenue from license and research and development arrangements through IGX.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expects that its existing cash and cash equivalents and short-term securities as of March 31, 2025 will be sufficient to fund its operating expenses and capital expenditure requirements for at least the next 12 months from the date the unaudited condensed consolidated financial statements are issued.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Consolidation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These unaudited condensed consolidated financial statements should be read in conjunction with the Company’s audited consolidated financial statements and notes thereto included in the Company’s Annual Report on Form 10-K for the year ended December 31, 2024, filed with the SEC on March 17,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financial position, its results of operations and comprehensive loss, and its cash flows for the periods presented. The results of operations for the three months ended March 31, 2025 are not necessarily indicative of the results to be expected for the year ending December 31, 2025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accounting guidance is meant to refer to the authoritative U.S. GAAP included in the Accounting Standards Codification (“ASC”), and Accounting Standards Update (“ASU”) issued by the Financial Accounting Standards Board (“FASB”).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unaudited condensed consolidated financial statements include the accounts of atai and its subsidiaries. All intercompany balances and transactions have been eliminated in the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policy is to consolidate all entities that it controls by ownership of a majority of the outstanding voting stock. In addition, entities that meet the definition of a variable interest entity (“VIE”) for which atai is the primary beneficiary are consolidated.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 For consolidated entities that are less than wholly-owned, the third-party’s holding of equity interest is presented as Noncontrolling interests in the Company's unaudited condensed consolidated balance sheets and unaudited condensed consolidated statements of stockholders' equity. The portion of net earnings attributable to the noncontrolling interests is presented as Net loss attributable to noncontrolling interests in the Company's unaudited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Ownership interests in entities over which the Company has significant influence, but not a controlling financial interest, are accounted for under either the alternative measurement under ASC Topic 321: </w:t>
      </w:r>
      <w:r>
        <w:rPr>
          <w:rFonts w:ascii="Times New Roman" w:hAnsi="Times New Roman"/>
          <w:i/>
          <w:color w:val="000000"/>
          <w:sz w:val="20"/>
        </w:rPr>
        <w:t>Investments - Equity Securities</w:t>
      </w:r>
      <w:r>
        <w:rPr>
          <w:rFonts w:ascii="Times New Roman" w:hAnsi="Times New Roman"/>
          <w:color w:val="000000"/>
          <w:sz w:val="20"/>
        </w:rPr>
        <w:t xml:space="preserve"> ("ASC 321) or as an equity method investment. Investments eligible for the measurement alternative under ASC 321 are carried at its initial cost, with remeasurements to fair value upon impairment or upon a price change observed in an orderly transaction of the same or similar investment of the same issuer. For equity method investments where the Company has not elected the fair value option, it records gains (losses) from investments in equity method investees, net of tax, for its proportionate share of the underlying company’s net results until the investment balance is adjusted to zero. If the Company makes subsequent additional investments in that same company, it may record additional gains (losses) based on changes to its investment basis and also may record additional income (loss) in equity method investments. If the Company has elected the fair value option for an equity investment, the fair value of the investment will be recorded upon acquisition and any changes in fair value will be recorded as a component of other income (expense), net. </w:t>
      </w:r>
    </w:p>
    <w:p>
      <w:pPr>
        <w:pStyle w:val="TextBody"/>
        <w:bidi w:val="0"/>
        <w:spacing w:before="12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following changes were made to the Company’s significant accounting policies as described in the Company’s audited consolidated financial statements as of and for the year ended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Company's investment in Bitcoin in March 2025 as part of its treasury reserve diversification strategy, the Company recognized its investment in accordance under ASC 350-60 (as defined below). Under the guidance, Bitcoin and other crypto assets (“digital assets”) are accounted for as indefinite-lived intangible assets, and are initially measured at cost, and are adjusted to fair value at the end of each reporting period. The Company measures gains or losses on the disposition of digital assets in accordance with the first-in-first-out (“FIFO”) method of accounting. Additionally, changes in fair value will be recorded in Change in fair value of digital assets on the Company's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hold its digital assets as a long-term investment, and, therefore, they are classified as non-current assets as of March 31, 2025 on the unaudited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Consideration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may record contingent consideration as part of the cost of either business combinations or asset acquisitions. For contingent consideration recognized as part of a business combination, the Company recognizes the contingent consideration in accordance with ASC Topic 805: </w:t>
      </w:r>
      <w:r>
        <w:rPr>
          <w:rFonts w:ascii="Times New Roman" w:hAnsi="Times New Roman"/>
          <w:i/>
          <w:color w:val="000000"/>
          <w:sz w:val="20"/>
        </w:rPr>
        <w:t>Business Combinations</w:t>
      </w:r>
      <w:r>
        <w:rPr>
          <w:rFonts w:ascii="Times New Roman" w:hAnsi="Times New Roman"/>
          <w:color w:val="000000"/>
          <w:sz w:val="20"/>
        </w:rPr>
        <w:t xml:space="preserve"> ("ASC 805") which is measured at the fair value as of the date of acquisition and accounted for under Contingent consideration liabilities or Contingent consideration liability - related party on the consolidated balance sheets. Contingent considerations from business combinations are remeasured on a quarterly basis, as appropriate, using a discounted cash-flow valuation technique until fulfillment of the contingency. Changes in the fair value of the contingent consideration are recognized as Change in fair value of assets and liabilities, net, a component of other income (expense), net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contingent consideration recognized as part of an asset acquisition, the Company must first assess whether the contingent consideration should be accounted for as either an embedded derivative under ASC Topic 815: Derivatives ("ASC 815"), or in accordance with an acquisition of an equity-method investment under Subtopic ASC 323-10 ("ASC 323-10"). Contingent consideration under the guidance of ASC 815 will be recorded as a derivative liability, which is measured at fair value and remeasured on a quarterly basis. Under the guidance of ASC 323-10, contingent consideration is recorded as a liability at the lesser of either the maximum amount of contingent consideration or the excess of the Company's share of the equity method investee's net assets over the initial cost measurement. If the contingent consideration does not fall under the guidance of either ASC 815 or ASC 323-10, the Company elects the practical expedient under FASB's Statement 141, in which no contingent consideration liability is recognized on the acquisition date, and recognition does not occur unless the contingency is resolved and the consideration is issued or become issuable.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ASU 2023-07 Segment Reporting: Improvements to Reportable Segment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 Board ("FASB") issued new guidance designed to improve reportable segment disclosure requirements, primarily through enhanced disclosures about significant expenses per segment. The guidance is effective for all fiscal years beginning after December 15, 2023, and for interim periods beginning after December 15, 2024. The new standard must be adopted on a retrospective basis and early adoption is permitted. The Company adopted this standard for fiscal year 2024, and applied the amendments retrospectively to all prior periods presented in the Company's unaudited condensed consolidated financial statements. Refer to Note 24 for more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ASU 2023-08 Intangibles - Goodwill and Other - Crypto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2023-08, </w:t>
      </w:r>
      <w:r>
        <w:rPr>
          <w:rFonts w:ascii="Times New Roman" w:hAnsi="Times New Roman"/>
          <w:i/>
          <w:color w:val="000000"/>
          <w:sz w:val="20"/>
        </w:rPr>
        <w:t>Accounting for and Disclosure of Crypto Assets</w:t>
      </w:r>
      <w:r>
        <w:rPr>
          <w:rFonts w:ascii="Times New Roman" w:hAnsi="Times New Roman"/>
          <w:color w:val="000000"/>
          <w:sz w:val="20"/>
        </w:rPr>
        <w:t>, which is codified as ASC subtopic 350-60 ("ASC 350-60"). The new guidance is designed to streamline the accounting treatment of crypto assets. ASC 350-60 requires that an entity measure crypto assets at fair value with changes recognized in net income at each reporting period and present crypto assets separately from other intangible assets in the balance sheet and changes from the remeasurement of crypto assets separately from changes in the carrying amounts of other intangible assets in the income statement. The guidance is effective for annual periods beginning after December 15, 2024 and interim periods within annual periods beginning after December 15, 2024. The Company adopted ASC 350-60 as of January 1, 2025 resulting in certain expanded disclosures about its digital assets. Refer to Note 11 for more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guidance designed to improve income tax disclosure requirements, primarily through increased disaggregation disclosures within the effective tax rate reconciliation as well as enhanced disclosures on income taxes paid. The guidance is effective for all fiscal years beginning after December 15, 2024. The new standard can be adopted on a prospective basis with an option to be adopted retrospectively and early adoption is permitted. The Company is not early adopting the standard. The Company is currently evaluating this guidance to determine its impact on the Company's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guidance designed to improve income statement expense disclosures, primarily by requiring new financial statement disclosures in tabular format and disaggregating information about prescribed categories underlying any relevant income statement captions. The standard is effective for fiscal years beginning after December 15, 2026 and interim periods within fiscal years beginning after December 15, 2027, with early adoption permitted. Upon adoption, the new standard may be applied prospectively or retrospectively. The Company is currently evaluating the impact that the adoption may have on its disclosures in its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guidance which clarifies the requirements for determining whether certain settlements of convertible debt instruments should be accounted for as an induced conversion. The standard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in the process of evaluating the impact of adoption on the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above, the Company's primary operations are inclusive of the research and development of several product candidates. The Company's ability to generate revenue will depend substantially on the successful development and eventual commercialization of product candidates. For the three months ended March 31, 2025 and 2024, the Company has not recognized revenue from its primary operations and does not expect to do so for at least the next several years. The Company does generate revenue from license agreements and research and development agreements, which is further explained below: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License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Otsuka License and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Perception entered into a license and collaboration agreement (the “Otsuka Agreement”) with Otsuka under which Perception granted exclusive rights to Otsuka to develop and commercialize products containing arketamine, known as PCN-101 in Japan for the treatment of any depression, including treatment-resistant depression, or major depressive disorder or any of their related symptoms or conditions at its own cost and expense. Perception retained all rights to PCN-101 outside of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execution of the Otsuka Agreement, Perception received an upfront, non-refundable payment of $20.0 million. Perception is also entitled to receive aggregate payments of up to $35.0 million if certain development and regulatory milestones are achieved for the current or a new intravenous formulation of a product and up to $66.0 million in commercial milestones upon the achievement of certain commercial sales thresholds. Otsuka is obligated to pay Perception a tiered, double-digit royalty on net sales of products containing PCN-101 in Japan, subject to reduction in certain circumstances. In January 2025, Otsuka provided a notice of termination pursuant to the Otsuka Agreement, effective April 24, 2025. Following the effective termination date, the Company will no longer be eligible to receive any milestone payments or royalties pursuant to the Otsuka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there were no milestones achieved or revenue recognized under the Otsuka Agreement,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Rizafilm LLC License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through its wholly-owned subsidiary IGX, entered into an Amended &amp; Restated Asset Purchase Agreement ("APA") and an Amended &amp; Restated Supply Agreement ("Supply Agreement") with Rizafilm LLC ("Rizafilm"). Under the APA, IGX sold licensing and intellectual property rights of IGX's oral thin film technology in exchange for an upfront payment of $0.2 million and an additional $0.5 million upon completion of certain manufacturing milestones. Under the Supply Agreement, subject to approval by the FDA, IGX will serve as the sole manufacturer of Rizafilm's products over a five year term with an automatic renewal option for an additional five years unless either party provides sufficient written notice. Additionally, the Supply Agreement requires Rizafilm to adhere to certain firm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recognized $0.2 million of the upfront fee paid by Rizafilm as license revenue. Also, for the three months ended March 31, 2025, no purchase orders have been placed by Rizafilm in connection with the Supply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Company's license revenue, the Company recognizes revenue through various research and development agreements through IGX. In these agreements, IGX is responsible for performing research and development services for customers interested in leveraging IGX's novel oral thin film technology for drug delivery. Many of these agreements provide IGX either the option or the right to serve as the sole manufacturer of these drugs upon regulatory approval. For the three months ended March 31, 2025 and 2024, the Company has recognized $1.4 million and zero in revenue from research and development services. To date, none of the products subject to the Company's research and development agreements through IGX have obtained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had contract liabilities of $0.4 million and $0.7 million, respectively, which is recorded within Other current liabilities on the Company's unaudited condensed consolidated balance sheets, and consists of the upfront payments received as part of the various research and development agreements discussed above. As of March 31, 2025, approximately $0.4 million of the contract liability balance is expected to be recognized as revenue from the remaining performance obligations over the next 12 months as performance obligations are satisfied. The Company will re-evaluate the transaction price in each reporting period and as certain events are resolved or other changes in circumstances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2025, the Company's license revenue and research and development revenue has been recognized in Canada.</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Acquisitions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2024 Acquisitions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IntelGenx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IntelGenx Technologies Corp. ("IntelGenx") is a drug delivery company focused on the development and manufacturing of novel oral thin film products for the pharmaceutical market and for one of the Company’s product candidates, VLS-01. From 2021 to 2024, the Company entered into various notes receivable agreements, loan agreements, and equity agreements which is described below.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Equity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and IntelGenx entered into a Securities Purchase Agreement (the “IntelGenx SPA”) whereby IntelGenx issued shares of its common stock (the "IntelGenx Common Shares") and warrants to the Company in an aggregate amount of approximately $12.3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2023 Subscription Agreement,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Company and IntelGenx entered into a subscription agreement (the “Subscription Agreement”), under which the Company paid IntelGenx $2.2 million for 2,220 convertible debenture units (the "2023 Initial Units") and the Company agreed to subscribe for an additional 750 convertible debenture units (the "2023 Subsequent Units") at a price of $0.8 million under the Subscription Agreement. Each debenture unit consists of convertible promissory notes (the "20203 Initial Notes" and the convertible promissory notes included in the 2023 Subsequent Units, the "2023 Subsequent Notes") and common share purchase warrants (the "2023 Initial Warrants" and the common share purchase warrants under the 2023 Subsequent Units, the "2023 Subsequent Warrants"). Effective September 30, 2023, IntelGenx and the Company amended the Subscription Agreement (the “Amended Subscription Agreement”), allowing the Company, subject to obtaining certain shareholder approvals, (the "Call Option") to purchase up to an additional 7,401 convertible debenture units (the “Call Option Units”).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Notes Receivable and Loan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Term Loan,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the Company and IntelGenx entered into a loan agreement (the "Original Loan Agreement") for an aggregate principal amount of $2.0 million. In May 2021, the Company paid an additional advance of $0.5 million as an additional term loan. The Original Loan Agreement was amended in September 2021, which, among other things, increased the principal amount of loans available to IntelGenx by $6.0 million, for a total of up to $8.5 million. In August 2023, the Company and IntelGenx entered into the first amendment to the amended and restated loan agreement (the "First Amendment") which, among other things, extended the maturity date from January 5, 2024 to January 5, 2025. Effective September 30, 2023, the Company and IntelGenx entered into a second amendment to the amended and restated loan agreement (the "Second Amendment", and together with the Original Loan Agreement and the First Amendment, the "IntelGenx Term Loan") which entitles the Company to convert any portion of the outstanding and unpaid principal and accrued interest into common shares of IntelGenx at a conversion price per share of $0.185. In March 2024, the Company and IntelGenx entered into the Third Amendment (together with the Original Loan Agreement, the First Amendment, and the Second Amendment, the “IntelGenx Term Loan”) pursuant to which the Company immediately provided an additional $1.0 million term loan (“Tranche 1 Additional Term Loan”), and would provide an additional $1.0 million term loan (“Tranche 2 Additional Term Loan”) contingent upon certain of the Company's clinical milestones. In connection with the Third Amendment, the Company received warrants to purchase up to 4.0 million shares of IntelGenx Common Shares (defined below) at an exercise price of $0.17 ("2024 Warrants").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30, 2023, the Company and IntelGenx entered into the Subscription Agreement (as described above), under which the Company paid IntelGenx $2.2 million for 2,220 convertible debenture units (the "Initial Units"), with each convertible debenture unit consisting of (i) $1,000 principal amount convertible promissory notes (the “2023 Initial Notes”); and (ii) 5,405 common share purchase warrants of IntelGenx.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upon shareholder approval, the Company paid $0.8 million for the 2023 Subsequent Units, which included the 2023 Subsequent Notes.</w:t>
      </w:r>
    </w:p>
    <w:p>
      <w:pPr>
        <w:pStyle w:val="TextBody"/>
        <w:bidi w:val="0"/>
        <w:spacing w:before="120" w:after="283"/>
        <w:jc w:val="left"/>
        <w:rPr>
          <w:rFonts w:ascii="Times New Roman" w:hAnsi="Times New Roman"/>
          <w:sz w:val="20"/>
        </w:rPr>
      </w:pPr>
      <w:r>
        <w:rPr>
          <w:rFonts w:ascii="Times New Roman" w:hAnsi="Times New Roman"/>
          <w:i/>
          <w:color w:val="000000"/>
          <w:sz w:val="20"/>
        </w:rPr>
        <w:t>IntelGenx 2023 Term Loan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Company and IntelGenx entered into a new term loan agreement under which the Company provided IntelGenx with an aggregate principal amount of $0.5 million (the “2023 Term Loan Note”). The loan bears an annualized interest rate of 14.0% compounding monthly. Principal and interest outstanding shall be due and payable from proceeds of future IntelGenx fundraising.</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Liquidation and Acquisition of IGX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IntelGenx announced that its board of directors authorized IntelGenx to bring an application in the Quebec Superior Court to seek protection from creditors under the Companies' Creditors Arrangement Act (“CCAA”) to allow time to review its strategic alternatives. IntelGenx was granted protection pursuant to an initial order ("Initial Order"), which also authorized interim debtor-in-possession financing ("DIP Financing") provided by the Company in order to allow IntelGenx to continue its operations during a restructuring process. Pursuant to the DIP Financing, the Company and IntelGenx entered into a senior secured super-priority, interim, non-revolving multiple draw credit facility ("DIP Loan") up to a maximum of CDN $8.0 million. Subsequently, IntelGenx obtained approval to implement a sale and investment solicitation process (the "SISP" and the approval, the "SISP Approval Order"). As part of the SISP Approval Order, the Court approved the agreement of a purchase and sale between IntelGenx and the Company, solely for the purpose of constituting the “Stalking Horse Bid" under the SISP. The Stalking Horse Bid established a baseline price and deal structure for the solicitation of superior bids from qualified interested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30, 2024, the Superior Court of Quebec issued an Approval and Vesting Order, sanctioning the transactions contemplated in ATAI’s stalking horse bid, which consisted of the Company acquiring IGX, the operating company and subsidiary of IntelGenx. The acquisition closed on October 2,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was structured as a credit bid, which resulted in the Company receiving all issued and outstanding shares of IGX in exchange for the discharge of all senior secured debt payable by IntelGenx, which included the DIP Loan and the IntelGenx Term Loan. For more information regarding the Company's IntelGenx notes receivable and debt instruments refer to Notes 6 and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was further structured to include only the assets and liabilities the Company designated within their Stalking Horse Bid (the “Purchase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transaction met the definition of a business under ASC 805; therefore, the Company accounted for the transaction as a business combination and applied the acquisition method of accounting. The purchase consideration transferred on October 2, 2024 (the "Acquisition Date") was $5.7 million, which was the fair value of the aforementioned discharged debt. The Company did not include any cash or equity as part of the consideration transferred.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allocation of the IGX purchase price to the estimated fair value of the net assets acquired at the Acquisition Date (in thousands):</w:t>
      </w:r>
    </w:p>
    <w:p>
      <w:pPr>
        <w:pStyle w:val="TextBody"/>
        <w:bidi w:val="0"/>
        <w:jc w:val="left"/>
        <w:rPr/>
      </w:pPr>
      <w:r>
        <w:rPr/>
        <w:t> </w:t>
      </w:r>
    </w:p>
    <w:tbl>
      <w:tblPr>
        <w:tblW w:w="7473" w:type="dxa"/>
        <w:jc w:val="left"/>
        <w:tblInd w:w="0" w:type="dxa"/>
        <w:tblLayout w:type="fixed"/>
        <w:tblCellMar>
          <w:top w:w="28" w:type="dxa"/>
          <w:left w:w="28" w:type="dxa"/>
          <w:bottom w:w="28" w:type="dxa"/>
          <w:right w:w="28" w:type="dxa"/>
        </w:tblCellMar>
      </w:tblPr>
      <w:tblGrid>
        <w:gridCol w:w="3551"/>
        <w:gridCol w:w="146"/>
        <w:gridCol w:w="886"/>
        <w:gridCol w:w="2399"/>
        <w:gridCol w:w="4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recognized at the Acquisition Date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identifiable 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Variable Interest Entities</w:t>
      </w:r>
    </w:p>
    <w:p>
      <w:pPr>
        <w:pStyle w:val="TextBody"/>
        <w:bidi w:val="0"/>
        <w:spacing w:before="7"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each reporting period, the Company reassesses whether it remains the primary beneficiary for Variable Interest Entities (“VIEs”) consolidated under the VIE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entities consolidated by the Company are comprised of wholly and partially owned entities for which the Company is the primary beneficiary under the VIE model as the Company has (i) the power to direct the activities that most significantly impact the VIE’s economic performance and (ii) the obligation to absorb losses that could potentially be significant to the VIE, or the right to receive benefits from the VIE that could potentially be significant to the VIE. The results of operations of the consolidated entities are included within the Company’s unaudited condensed consolidated financial statements from the date of acquisition to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has accounted for the following consolidated investments as VIEs, excluding the wholly owned subsidiaries: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260"/>
        <w:gridCol w:w="146"/>
        <w:gridCol w:w="1328"/>
        <w:gridCol w:w="146"/>
        <w:gridCol w:w="1457"/>
        <w:gridCol w:w="146"/>
        <w:gridCol w:w="1130"/>
        <w:gridCol w:w="146"/>
        <w:gridCol w:w="206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Consolidated Entities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as of</w:t>
              <w:b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Relationship as of</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Control Obtained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Ownership % </w:t>
              <w:b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 December 31, 2024</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Perception Neuroscience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59.2%</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Recognify Life Sciences,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Controlled VIE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51.9%</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assets of the consolidated VIEs can only be used to settle the obligations of the respective VIEs. The liabilities of the consolidated VIEs are obligations of the respective VIEs and their creditors have no recourse to the general credit or assets of atai.</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Consolidated VIE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assets and liabilities (excluding intercompany balances that were eliminated in consolidation) for all VIEs as of March 31, 2025 (in thousands):</w:t>
      </w:r>
    </w:p>
    <w:p>
      <w:pPr>
        <w:pStyle w:val="TextBody"/>
        <w:bidi w:val="0"/>
        <w:spacing w:before="120" w:after="283"/>
        <w:jc w:val="left"/>
        <w:rPr/>
      </w:pPr>
      <w:r>
        <w:rPr/>
        <w:t> </w:t>
      </w:r>
    </w:p>
    <w:tbl>
      <w:tblPr>
        <w:tblW w:w="6407" w:type="dxa"/>
        <w:jc w:val="left"/>
        <w:tblInd w:w="0" w:type="dxa"/>
        <w:tblLayout w:type="fixed"/>
        <w:tblCellMar>
          <w:top w:w="28" w:type="dxa"/>
          <w:left w:w="28" w:type="dxa"/>
          <w:bottom w:w="28" w:type="dxa"/>
          <w:right w:w="28" w:type="dxa"/>
        </w:tblCellMar>
      </w:tblPr>
      <w:tblGrid>
        <w:gridCol w:w="3651"/>
        <w:gridCol w:w="146"/>
        <w:gridCol w:w="295"/>
        <w:gridCol w:w="591"/>
        <w:gridCol w:w="146"/>
        <w:gridCol w:w="146"/>
        <w:gridCol w:w="226"/>
        <w:gridCol w:w="615"/>
        <w:gridCol w:w="5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Recognify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assets and liabilities (excluding intercompany balances that were eliminated in consolidation) for all consolidated VIEs as of December 31, 2024 (in thousands):</w:t>
      </w:r>
    </w:p>
    <w:p>
      <w:pPr>
        <w:pStyle w:val="TextBody"/>
        <w:bidi w:val="0"/>
        <w:jc w:val="left"/>
        <w:rPr/>
      </w:pPr>
      <w:r>
        <w:rPr/>
        <w:t> </w:t>
      </w:r>
    </w:p>
    <w:tbl>
      <w:tblPr>
        <w:tblW w:w="6662" w:type="dxa"/>
        <w:jc w:val="left"/>
        <w:tblInd w:w="0" w:type="dxa"/>
        <w:tblLayout w:type="fixed"/>
        <w:tblCellMar>
          <w:top w:w="28" w:type="dxa"/>
          <w:left w:w="28" w:type="dxa"/>
          <w:bottom w:w="28" w:type="dxa"/>
          <w:right w:w="28" w:type="dxa"/>
        </w:tblCellMar>
      </w:tblPr>
      <w:tblGrid>
        <w:gridCol w:w="3651"/>
        <w:gridCol w:w="146"/>
        <w:gridCol w:w="340"/>
        <w:gridCol w:w="681"/>
        <w:gridCol w:w="146"/>
        <w:gridCol w:w="146"/>
        <w:gridCol w:w="259"/>
        <w:gridCol w:w="702"/>
        <w:gridCol w:w="5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Recognify</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noncontrolling interests related to its consolidated VIEs and provides a roll forward of the noncontrolling interests balance, as follows (in thousands):</w:t>
      </w:r>
    </w:p>
    <w:p>
      <w:pPr>
        <w:pStyle w:val="TextBody"/>
        <w:bidi w:val="0"/>
        <w:jc w:val="left"/>
        <w:rPr/>
      </w:pPr>
      <w:r>
        <w:rPr/>
        <w:t> </w:t>
      </w:r>
    </w:p>
    <w:tbl>
      <w:tblPr>
        <w:tblW w:w="6614" w:type="dxa"/>
        <w:jc w:val="left"/>
        <w:tblInd w:w="0" w:type="dxa"/>
        <w:tblLayout w:type="fixed"/>
        <w:tblCellMar>
          <w:top w:w="28" w:type="dxa"/>
          <w:left w:w="28" w:type="dxa"/>
          <w:bottom w:w="28" w:type="dxa"/>
          <w:right w:w="28" w:type="dxa"/>
        </w:tblCellMar>
      </w:tblPr>
      <w:tblGrid>
        <w:gridCol w:w="5236"/>
        <w:gridCol w:w="146"/>
        <w:gridCol w:w="340"/>
        <w:gridCol w:w="681"/>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4276"/>
        <w:gridCol w:w="146"/>
        <w:gridCol w:w="284"/>
        <w:gridCol w:w="632"/>
        <w:gridCol w:w="166"/>
        <w:gridCol w:w="146"/>
        <w:gridCol w:w="196"/>
        <w:gridCol w:w="376"/>
        <w:gridCol w:w="166"/>
        <w:gridCol w:w="146"/>
        <w:gridCol w:w="270"/>
        <w:gridCol w:w="601"/>
        <w:gridCol w:w="166"/>
        <w:gridCol w:w="146"/>
        <w:gridCol w:w="196"/>
        <w:gridCol w:w="51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Perception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Recognify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noncontrolling interests -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the nature of its investments in Innoplexus AG (“Innoplexus”) and Beckley Psytech Limited (collectively “non-consolidated VIEs”) and determined that the investments are VIEs as of the date of the Company’s initial investment through March 31, 2025. The Company is not the primary beneficiary of the non-consolidated VIEs as it did not have the power to direct the activities that most significantly impact the investments’ economic performance and therefore concluded that it did not have a controlling financial interest in each of the non-consolidated VIEs that would require consolidation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reevaluate if the investments meet the definition of a VIE upon the occurrence of specific reconsideration events. The Company accounted for these investments under either the equity method, fair value option, or the measurement alternative included within ASC 321 (See Note 6). As of March 31, 2025 and December 31, 2024, the Company’s maximum exposure for its non-consolidated VIEs was $10.0 million, respectively, of Short-term restricted cash for the purchase of Beckley Deferred Shares (as defined and described in Note 6).</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Investments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carrying values of Other investments held at fair value were as follows (in thousands):</w:t>
      </w:r>
    </w:p>
    <w:p>
      <w:pPr>
        <w:pStyle w:val="TextBody"/>
        <w:bidi w:val="0"/>
        <w:spacing w:before="120" w:after="283"/>
        <w:jc w:val="left"/>
        <w:rPr/>
      </w:pPr>
      <w:r>
        <w:rPr/>
        <w:t> </w:t>
      </w:r>
    </w:p>
    <w:tbl>
      <w:tblPr>
        <w:tblW w:w="6755" w:type="dxa"/>
        <w:jc w:val="left"/>
        <w:tblInd w:w="0" w:type="dxa"/>
        <w:tblLayout w:type="fixed"/>
        <w:tblCellMar>
          <w:top w:w="28" w:type="dxa"/>
          <w:left w:w="28" w:type="dxa"/>
          <w:bottom w:w="28" w:type="dxa"/>
          <w:right w:w="28" w:type="dxa"/>
        </w:tblCellMar>
      </w:tblPr>
      <w:tblGrid>
        <w:gridCol w:w="3166"/>
        <w:gridCol w:w="146"/>
        <w:gridCol w:w="299"/>
        <w:gridCol w:w="961"/>
        <w:gridCol w:w="146"/>
        <w:gridCol w:w="146"/>
        <w:gridCol w:w="357"/>
        <w:gridCol w:w="114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COMPASS Pathways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Beckley Psytech Additional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COMPASS Pathways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COMPASS Pathways plc (“COMPASS”) is a mental health care company dedicated to pioneering the development of a new model of psilocybin therapy with its product COMP360. The Company first acquired investments in COMPASS in December 2018 with additional investments through 2021, and accounted for its investment under the equity method until August 2023. In August 2023, COMPASS closed a financing round, in which the Company did not participate, and the Company's ownership interest in COMPASS was reduced to 15.4%.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August 2023 financing, the Company evaluated its ability to continue to exercise significant influence over its investment and determined that it no longer had significant influence and as such will account for its COMPASS investment under ASC 321 at fair value. Any changes in fair value of the Company's investment in COMPASS will be recorded as a Change in fair value of assets and liabilities, net in its unaudited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quoted market prices, the market value of the Company’s ownership in COMPASS was $19.8 million and $26.1 million as of March 31, 2025 and December 31, 2024, respectively. For the three months ended March 31, 2025 and 2024, the Company has recorded the change in fair value of other investments held at fair value in its unaudited condensed consolidated statements of operations of $6.3 million and $4.1 million,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IntelGenx Technologies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the Company acquired all issued and outstanding shares of IGX. As of March 31, 2025, the Company continues to hold multiple investments in IntelGenx which consist of common shares, 2023 Initial Warrants, 2023 Subsequent Warrants, and 2024 Warrants, (the 2023 Initial Warrants, 2023 Subsequent Warrants, and 2024 Warrants are collectively referred to as the “Warrants”), and Call Option Units, which are measured at fair value. As of March 31, 2025 and December 31, 2024, both the Warrants and Call Option have a fair value of zero as IntelGenx continues to be party to proceedings under the CCAA. For the three months ended March 31, 2024, the Company recognized a $1.4 million gain in Change in fair value of assets and liabilities, net relating to the IntelGenx equity instruments in its unaudited condensed consolidated statements of operations. For more information regarding the Company's investment in IntelGenx equity securities, refer to Notes 5 and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Strategic Development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acquisition of IGX in October 2024 and pursuant to the Strategic Development Agreement, the Company engaged IntelGenx to conduct research and development projects (“Development Projects”) using IntelGenx’s proprietary oral thin film technology. Under the terms of the Strategic Development Agreement, the Company could select four (4) program products. As of the effective date of the Strategic Development Agreement, the Company nominated two (2) program products - DMT and Salvinorin A. 20% of any funds that IntelGenx received or will receive through the Company’s equity investment under the IntelGenx SPA will be available to be credited towards research and development services that IntelGenx conducts for the Company under the Development Projects. The Company is eligible to receive a total credit of $2.5 million. For the three months ended March 31, 2024, research and development expense relating to the Strategic Development Agreement was $0.1 million, which was applied as a reduction in research and development expenses in accordance with the Strategic Development Agreement. After the Company's acquisition of IGX in October 2024, any work performed with respect to the Development Projects is recorded as intercompany transactions and eliminated upon consolidation in accordance with the Company's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investments in the preferred stock of Innoplexus, GABA and Beckley Psytech Limited are not considered as in-substance common stock due to the existence of substantial liquidation preferences and therefore did not have subordination characteristics that were substantially similar to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the Company evaluated all of its other investments to determine if certain events or changes in circumstance during these time periods in 2025 and 2024 had a significant adverse effect on the fair value of any of its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non-consolidated entities. Based on its analysis, the Company did not note any impairment indicators associated with the Company’s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there were no observable changes in price recorded related to the Company’s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carrying values of other investments, which consisted of investments in the investee’s preferred stock not in the scope of ASC 323 were as follows (in thousands):</w:t>
      </w:r>
    </w:p>
    <w:tbl>
      <w:tblPr>
        <w:tblW w:w="5750" w:type="dxa"/>
        <w:jc w:val="left"/>
        <w:tblInd w:w="0" w:type="dxa"/>
        <w:tblLayout w:type="fixed"/>
        <w:tblCellMar>
          <w:top w:w="28" w:type="dxa"/>
          <w:left w:w="28" w:type="dxa"/>
          <w:bottom w:w="28" w:type="dxa"/>
          <w:right w:w="28" w:type="dxa"/>
        </w:tblCellMar>
      </w:tblPr>
      <w:tblGrid>
        <w:gridCol w:w="2161"/>
        <w:gridCol w:w="146"/>
        <w:gridCol w:w="299"/>
        <w:gridCol w:w="961"/>
        <w:gridCol w:w="146"/>
        <w:gridCol w:w="146"/>
        <w:gridCol w:w="357"/>
        <w:gridCol w:w="1143"/>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Beckley Psytech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Beckley Psytech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Beckley Psytech Limited ("Beckley Psytech") is a clinical stage biotechnology company dedicated to improving the lives of people suffering from neuropsychiatric disorders by transforming psychedelics into effective and rapid-acting clinical medicines. Its most advanced programs are focused on the development of psychedelic-based medicines to treat people with treatment resistant depression and major depressive disorder.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and shareholders'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entered into a subscription and shareholders' agreement with Beckley Psytech and certain other shareholders as identified in the agreement ("the SSA"). Pursuant to the terms of the SSA, the Company (a) has the right to acquire 24,096,385 newly issued series C preferred shares, par value £0.0001 per share, of Beckley Psytech (the “Series C Shares”) for a total purchase price of $40 million (the “Primary Investment”); and (b) undertakes to enter into a Share Purchase Deed (the “Secondary Sale SPA”) within 10 business days, pursuant to which the Company will acquire a total of 11,153,246 shares of Beckley Psytech from certain existing shareholders of Beckley Psytech (the “Secondary Sale” and together with the Primary Investment, the “Investment”), all of which will be re-designated into Series C Shares immediately prior to completion of the Secondary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SSA, the Company acquired, pursuant to an equity warrant instrument between the Company and Beckley Psytech, 24,096,385 warrants to purchase an amount of Series C shares equal to the lesser of (i) 24,096,385 Series C Shares; or (ii) such number of Series C Shares (rounded up to the nearest whole number) as immediately after their issuance would, together with all shares held by the Company in the issued share capital of Beckley Psytech, equal less than 50% of Beckley Psytech’s fully diluted share capital, and each such warrant is exercisable at an exercise price of $2.158 per share ("Series C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under the SSA, the Company has the right to receive additional warrants to purchase Series C Shares in the event Beckley Psytech issues equity or equity linked securities pursuant to a deferred equity arrangement in connection with a prior acquisition made by Beckley Psytech, each such warrant is exercisable at an exercise price of $1.66 per share. Each of the warrants described above are exercisable upon delivery of a written notice to Beckley Psytech (the "Additional Warrants").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Subscription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made an initial payment of $25 million for 15,060,241 Series C Shares at a subscription share price of $1.66 (the “Initial Shares”) and delivered the executed deferred payment escrow agreement ("Escrow Agreement") to Beckley Psytech which was the condition for the closing of the transaction (the “Initial Subscription”).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2024, subject to the terms of the Escrow Agreement, the Company deposited $15.0 million into an escrow account. Prior to April 1, 2025, Beckley Psytech may, at its sole discretion, draw down up to $5.0 million from the escrow account, with the balance to be paid to Beckley Psytech at April 1, 2025. Beckley shall credit as fully-paid such corresponding number of Series C Shares as corresponds with the value of such draw-down. The total number of deferred payment shares ("Deferred Shares") is 9,036,144 with a share price of $1.66.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Secondary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2024, the Company and Beckley Psytech entered into the Secondary Sale SPA pursuant to which the Company agreed to purchase 11,153,246, £0.0001 par value, re-designated Series C shares (the “Secondary Sale Shares”) at a price of $0.8966 per share from the existing shareholders for an aggregate consideration of $10.0 million. On January 18, 2024, the Secondary Sale Shares were acquired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each of closing of the Initial Subscription, execution of the Escrow Agreement, and acquisition of the Secondary Sale Shares, the Company recognized a fair value of $35.3 million in Other Investments in the consolidated balance sheets related to the Initial Shares, Secondary Shares, and Series C Warrants and a fair value of $2.6 million in Other investments held at fair value related to the Additional Warrants.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qualified for and elected to account for the investment acquired per the SSA using the measurement alternative under ASC 321, and is included in Other Investments in the consolidated balance sheets. The Company applied a calibrated model for the $35.3 million investment, to account for the Initial Shares, option to purchase the Deferred Shares, Secondary Shares, and Series C Warrants, on a relative fair value basis resulting in no initial gain or loss recognized in the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Escrow Agreement, the Company recognized the fair value of the Deferred Shares as additional consideration for its investment in Beckley as the fair value of the Deferred Shares was less than the purchase price of $1.66 per share. The Company recognized a $2.9 million liability for the Deferred Shares recorded within Other current liabilities in its unaudited condensed consolidated balance sheets. Upon Beckley drawing on the Escrow Agreement, the Company will reduce its liability related to the Deferred Shares and recognize gain or loss based on the fair value of the Series C shares as Other income (expense), net in the unaudited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Escrow Agreement Draw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pursuant to the terms of the Escrow Agreement, Beckley Psytech, at its sole discretion, drew $5.0 million from the escrow account and the Company was credited 3,012,048 Series C shares. The Company determined that the fair value of the shares received was $5.3 million, which is recorded as Other investments in the unaudited condensed consolidated balance sheets. The Company reflects the remaining $10.0 million held in escrow in Short-term restricted cash for other investments within the consolidated balance sheets as of March 31, 2025. The Company reflects the remaining $1.9 million liability related to the Deferred Shares in Other current liabilities within the unaudited condensed consolidated balance sheets as of March 31, 2025.</w:t>
      </w:r>
    </w:p>
    <w:p>
      <w:pPr>
        <w:pStyle w:val="TextBody"/>
        <w:bidi w:val="0"/>
        <w:spacing w:before="120" w:after="283"/>
        <w:jc w:val="left"/>
        <w:rPr>
          <w:rFonts w:ascii="Times New Roman" w:hAnsi="Times New Roman"/>
          <w:sz w:val="20"/>
        </w:rPr>
      </w:pPr>
      <w:r>
        <w:rPr>
          <w:rFonts w:ascii="Times New Roman" w:hAnsi="Times New Roman"/>
          <w:i/>
          <w:color w:val="000000"/>
          <w:sz w:val="20"/>
        </w:rPr>
        <w:t>Additional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Additional Warrants meet the definition of a derivative instrument under ASC 815 and recorded the $2.6 million fair value at the SSA transaction date in Other investments held at fair value in the consolidated balance sheets, with subsequent changes in fair value being reflected through the unaudited condensed consolidated statements of operations in the Change in fair value of assets and liabilities,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Beckley Psytech issued equity pursuant to the deferred equity arrangement, and, per the SSA, the Company received 4,393,400 warrants. The Company determined that once it received the Additional Warrants, they no longer meet the definition of a derivative instrument under ASC 815. The Company qualified for and elected to account for the warrants under ASC 321, and recorded the warrants received in Other Investments in the unaudited condensed consolidated balance sheets. At the time of receipt, the warrants had a fair value of $1.5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remaining Additional Warrants had a fair value of $3.3 million and $2.8 million, respectively, recorded in Other investments held at fair value in the unaudited condensed consolidated balance sheets. For the three months ended March 31, 2025 and 2024, the Company recorded a $0.5 million gain and an immaterial amount, respectively, in the Change in fair value of assets and liabilities, net in its unaudited condensed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GABA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GABA is a California based biotechnology company focused on developing GRX-917 for the treatment of anxiety, depression and a broad range of other neurological disorders. The Company is deemed to have significant influence over GABA through its total ownership interest in GABA’s equity, including the Company’s investment in GABA’s common and preferred stock, and the Company’s noncontrolling representation on GABA’s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in GABA’s common stock was accounted for in accordance with the equity method, and the carrying value of the investment in GABA common stock was reduced to zero as of December 31, 2020 due to IPR&amp;D charges with no alternative future use and remained zero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2019 investment of $5.5 million in GABA’s preferred stock did not meet the criteria for in-substance common stock, and the Company recognized its investment in GABA’s preferred stock under the measurement alternative pursuant to ASC 321.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Company's remaining obligation to purchase additional shares of Series A preferred stock from GABA is for up to $0.9 million at the same price per share as its initial investment upon the achievement of specified contingent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GABA’s net losses attributable to the Company were determined based on the Company’s ownership percentage of preferred stock in GABA and recorded to the Company’s investments in GABA preferred stock. As of March 31, 2025 and December 31, 2024, the investment in GABA’s preferred stock had a carrying value of zero. During the three months ended March 31, 2025 and 2024, the Company recognized its proportionate share of GABA’s net loss of zero and $1.7 million, respectively, as Losses from investments in equity method investees, net of tax on the unaudited condensed consolidated statements of operations. For more information regarding the Company's investment in GABA, refer to Note 5 in the Company's audited consolidated financial statements included in the Company’s Annual Report on Form 10-K filed with the SEC on March 17, 2025.</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Innoplexus AG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Innoplexus is a technology company that provides “Data as a Service” and “Continuous Analytics as a Service” solutions that aims to help healthcare organizations leverage their technologies and expedite the drug development process across all stages—preclinical, clinical, regulatory and commercial. The Company first acquired investments in Innoplexus in August 2018 with an additional investment in December 2020, bringing its aggregate ownership percentage to 35%. The Company's ownership percentage remains at 35%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significant influence over Innoplexus through its noncontrolling representation on the investee’s supervisory board. Accordingly, the Company’s investment in Innoplexus’ common stock was accounted for in accordance with the equity method. The Company’s investment in Innoplexus’ preferred stock did not meet the criteria for in-substance common stock. As such, the investment in Innoplexus’ preferred stock was accounted for under the measurement alternative under ASC 321. The carrying value of the Company’s investment in Innoplexus was zero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entered into a Share Purchase and Assignment Agreement (the “Innoplexus SPA”) to sell its shares of common and preferred stock held in Innoplexus to a current investor of Innoplexus (the “Purchaser”) in exchange for an initial purchase price of approximately $2.4 million. In addition, the Company is entitled to receive contingent payments based on the occurrence of subsequent equity transactions or liquidity events at Innoplexus as determined under the Innoplexus SPA.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Pursuant to the Innoplexus SPA, the Purchaser is required to hold a minimum number of shares equivalent to the number of shares purchased from the Company through December 31, 2026. In the event that the Purchaser is in breach of this requirement, the Purchaser is required to pay the Company an additional purchase price of approximately $9.6 million. The transaction was accounted for as a secured financing as it did not qualify for sale accounting under ASC Topic 860, </w:t>
      </w:r>
      <w:r>
        <w:rPr>
          <w:rFonts w:ascii="Times New Roman" w:hAnsi="Times New Roman"/>
          <w:i/>
          <w:color w:val="000000"/>
          <w:sz w:val="20"/>
        </w:rPr>
        <w:t xml:space="preserve">Transfers and Servicing </w:t>
      </w:r>
      <w:r>
        <w:rPr>
          <w:rFonts w:ascii="Times New Roman" w:hAnsi="Times New Roman"/>
          <w:color w:val="000000"/>
          <w:sz w:val="20"/>
        </w:rPr>
        <w:t xml:space="preserve">(ASC 860), due to the provision under the Innoplexus SPA which constrained the Purchaser from its right to pledge or exchange the underlying shares and provided more than a trivial benefit to the Company. The initial proceeds from the transaction are reflected as a secured borrowing liability of $2.3 million and $2.2 million as of March 31, 2025 and December 31, 2024, respectively, which is included in Other liabilities in the Company’s unaudited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Innoplexus SPA also provides the right for the Company to receive additional consideration with a maximum payment outcome of $22.3 million should the equity value of Innoplexus exceed certain thresholds upon the occurrence of certain events. The Company concluded that this feature met the definition of a derivative which required bifurcation. As the probability of the occurrence of certain events defined in the Innoplexus SPA was less than remote, the Company concluded that the fair value of the embedded derivative ascribed to this feature was de minimis as of March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Summarized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financial data for investments accounted for under the equity method of accounting (in thousands):</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Balance Sheets</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1581"/>
        <w:gridCol w:w="146"/>
        <w:gridCol w:w="340"/>
        <w:gridCol w:w="920"/>
        <w:gridCol w:w="146"/>
        <w:gridCol w:w="146"/>
        <w:gridCol w:w="403"/>
        <w:gridCol w:w="1097"/>
        <w:gridCol w:w="391"/>
      </w:tblGrid>
      <w:tr>
        <w:trPr/>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Statements of operations</w:t>
      </w:r>
    </w:p>
    <w:p>
      <w:pPr>
        <w:pStyle w:val="TextBody"/>
        <w:bidi w:val="0"/>
        <w:jc w:val="left"/>
        <w:rPr/>
      </w:pPr>
      <w:r>
        <w:rPr/>
        <w:t> </w:t>
      </w:r>
    </w:p>
    <w:tbl>
      <w:tblPr>
        <w:tblW w:w="10030" w:type="dxa"/>
        <w:jc w:val="left"/>
        <w:tblInd w:w="0" w:type="dxa"/>
        <w:tblLayout w:type="fixed"/>
        <w:tblCellMar>
          <w:top w:w="28" w:type="dxa"/>
          <w:left w:w="28" w:type="dxa"/>
          <w:bottom w:w="28" w:type="dxa"/>
          <w:right w:w="28" w:type="dxa"/>
        </w:tblCellMar>
      </w:tblPr>
      <w:tblGrid>
        <w:gridCol w:w="2761"/>
        <w:gridCol w:w="146"/>
        <w:gridCol w:w="1006"/>
        <w:gridCol w:w="2294"/>
        <w:gridCol w:w="166"/>
        <w:gridCol w:w="146"/>
        <w:gridCol w:w="827"/>
        <w:gridCol w:w="247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GABA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7. Notes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IntelGenx Technologies Corp.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Company's acquisition of IGX in October 2024, the Company had outstanding loan agreements and convertible notes with IntelGenx, which are measured at fair value. The Company discharged its secured debt it held with IntelGenx, which included the DIP Loan and the IntelGenx Term Loan, in consideration of its acquisition of IGX. The Company continues to hold the 2023 Initial Notes, the 2023 Subsequent notes, and the IntelGenx 2023 Term Loan Note with IntelGenx, which continues to be subject to protections under the CCAA. The Company determined that the fair value of the 2023 Initial Notes, the 2023 Subsequent notes, and the 2023 Term Loan Note with IntelGenx was zero as of March 31, 2025 and December 31, 2024. For more information regarding the Company's notes receivable refer to Note 6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the Company recognized a $1.7 million gain in Change in fair value of assets and liabilities, net relating to the IntelGenx notes receivable in its unaudited condensed consolidated statements of operations. Additionally, for the three months ended March 31, 2024, the Company recognized an immaterial amount of interest income associated IntelGenx notes receivables.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Fair Value Measurement</w:t>
      </w:r>
    </w:p>
    <w:p>
      <w:pPr>
        <w:pStyle w:val="TextBody"/>
        <w:bidi w:val="0"/>
        <w:spacing w:before="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indicates the fair value hierarchy of the valuation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4"/>
        <w:gridCol w:w="146"/>
        <w:gridCol w:w="211"/>
        <w:gridCol w:w="676"/>
        <w:gridCol w:w="146"/>
        <w:gridCol w:w="146"/>
        <w:gridCol w:w="211"/>
        <w:gridCol w:w="676"/>
        <w:gridCol w:w="146"/>
        <w:gridCol w:w="146"/>
        <w:gridCol w:w="211"/>
        <w:gridCol w:w="571"/>
        <w:gridCol w:w="146"/>
        <w:gridCol w:w="146"/>
        <w:gridCol w:w="211"/>
        <w:gridCol w:w="781"/>
        <w:gridCol w:w="591"/>
      </w:tblGrid>
      <w:tr>
        <w:trPr/>
        <w:tc>
          <w:tcPr>
            <w:tcW w:w="5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 held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convertible promissory note conversion option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convertible promissory note conversion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49"/>
        <w:gridCol w:w="146"/>
        <w:gridCol w:w="211"/>
        <w:gridCol w:w="676"/>
        <w:gridCol w:w="146"/>
        <w:gridCol w:w="146"/>
        <w:gridCol w:w="211"/>
        <w:gridCol w:w="676"/>
        <w:gridCol w:w="146"/>
        <w:gridCol w:w="146"/>
        <w:gridCol w:w="211"/>
        <w:gridCol w:w="571"/>
        <w:gridCol w:w="146"/>
        <w:gridCol w:w="146"/>
        <w:gridCol w:w="211"/>
        <w:gridCol w:w="676"/>
        <w:gridCol w:w="591"/>
      </w:tblGrid>
      <w:tr>
        <w:trPr/>
        <w:tc>
          <w:tcPr>
            <w:tcW w:w="5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 held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convertible promissory note conversion option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convertible promissory note conversion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Investment in securities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the fair value option for the securities in its investment portfolio. The fair value is based on quoted market prices, when available. When a quoted market price is not readily available, the Company uses the market price from its last sale of similar assets. The cash and cash equivalents held by the Company are categorized as Level 1 investments as quoted market prices are readily available for these investments. All other investments in the investment portfolio are categorized as Level 2 investments as inputs utilized to fair value these securities are either directly or indirectly observable, such as the market price from the last sale of similar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unrealized gains and losses on the available-for-sale securities, represented by change in the fair value of the investment portfolio, is reported in earnings. Since the investment in the available-for-sale securities are already measured at fair value, no separate credit losses would be recorded in the financials.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the Company recognized a $0.5 million and $1.3 million gain, respectively, related to the change in fair value in its available for sale securities recognized as a Change in fair value of assets and liabilities, net in its unaudited condensed consolidated statements of operations.</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invested in Bitcoin to diversify its treasury investment strategy. Under ASC 350-60, the Company’s digital assets are measured at fair value based on quoted prices on active exchanges, and are therefore categorized as Level 1 investments in the fair value hierarchy. The Company recognizes changes in the fair value of its digital assets as gains or losses in Change in fair value of digital assets on the Company's unaudited condensed consolidated statements of operations during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the Company recognized a $0.2 million loss related to the change in fair value in its Bitcoin holding recognized as a Change in fair value of digital assets in its unaudited condensed consolidated statements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investments held at fair value</w:t>
      </w:r>
    </w:p>
    <w:p>
      <w:pPr>
        <w:pStyle w:val="TextBody"/>
        <w:bidi w:val="0"/>
        <w:spacing w:before="120" w:after="283"/>
        <w:jc w:val="left"/>
        <w:rPr>
          <w:rFonts w:ascii="Times New Roman" w:hAnsi="Times New Roman"/>
          <w:sz w:val="20"/>
        </w:rPr>
      </w:pPr>
      <w:r>
        <w:rPr>
          <w:rFonts w:ascii="Times New Roman" w:hAnsi="Times New Roman"/>
          <w:b/>
          <w:i/>
          <w:color w:val="000000"/>
          <w:sz w:val="20"/>
        </w:rPr>
        <w:t>COMPASS Pathways plc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6 above, following COMPASS' August 2023 financing, the Company determined that it no longer had significant influence over COMPASS and accounted for its COMPASS investment at fair value under ASC 321 with any changes in fair value recorded as a Change in fair value of assets and liabilities, net in its consolidated statements of operations. The Company determines the fair value of its COMPASS investment by taking the publicly available share price as of the balance sheet date multiplied by the number of shares the Company holds. There are no non-observable inputs in determining the fair value. For the three months ended March 31, 2025 and 2024, the Company recognized a $6.3 million loss and a $4.1 million loss within Change in fair value of assets and liabilities, net,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Psytech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6, the Company determined that the Additional Warrants meet the definition of a derivative instrument under ASC 815 and recorded the Additional Warrants at fair value with subsequent changes in fair value being reflected through the unaudited condensed consolidated statements of operations in the Change in fair value of assets and liabilities, net. For the three months ended March 31, 2025 and 2024, the Company recorded a $0.5 million gain and an immaterial amount, respectively, in the Change in fair value of assets and liabilities, net in its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Beckley Additional Warrants was calculated using the following significant unobservable inputs: </w:t>
      </w:r>
    </w:p>
    <w:p>
      <w:pPr>
        <w:pStyle w:val="TextBody"/>
        <w:bidi w:val="0"/>
        <w:jc w:val="left"/>
        <w:rPr/>
      </w:pPr>
      <w:r>
        <w:rPr/>
        <w:t> </w:t>
      </w:r>
    </w:p>
    <w:tbl>
      <w:tblPr>
        <w:tblW w:w="8221" w:type="dxa"/>
        <w:jc w:val="left"/>
        <w:tblInd w:w="0" w:type="dxa"/>
        <w:tblLayout w:type="fixed"/>
        <w:tblCellMar>
          <w:top w:w="28" w:type="dxa"/>
          <w:left w:w="28" w:type="dxa"/>
          <w:bottom w:w="28" w:type="dxa"/>
          <w:right w:w="28" w:type="dxa"/>
        </w:tblCellMar>
      </w:tblPr>
      <w:tblGrid>
        <w:gridCol w:w="1621"/>
        <w:gridCol w:w="246"/>
        <w:gridCol w:w="3401"/>
        <w:gridCol w:w="1261"/>
        <w:gridCol w:w="146"/>
        <w:gridCol w:w="1546"/>
      </w:tblGrid>
      <w:tr>
        <w:trPr/>
        <w:tc>
          <w:tcPr>
            <w:tcW w:w="16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approach:</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Probability of issuances under deferred </w:t>
              <w:br/>
              <w:t>equity arrangement</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- 80%</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Volatility</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IntelGenx Technologies Corp.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IntelGenx equity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6, prior to the completion of the Company's acquisition of IGX in October 2024, the Company's investment in IntelGenx included common shares, 2023 Initial Warrants, 2023 Subsequent Warrants, and 2024 Warrants, (the 2023 Initial Warrants, 2023 Subsequent Warrants, and 2024 Warrants are collectively referred to as the “Warrants”), and Call Option. The fair value of these instruments were estimated based on significant inputs not observable in the market, which represents a Level 3 measurement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relevant facts and circumstances, the Company estimated a zero fair value to be attributable to the Warrants and the Call Option as of March 31, 2025 and December 31, 2024, respectively. For the three months ended March 31, 2024, the Company recognized a $1.4 million gain in Change in fair value of assets and liabilities, net relating to the IntelGenx equity instruments in its unaudited condensed consolidated statements of operations. For more information regarding the Company's equity investments, refer to Notes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sz w:val="20"/>
        </w:rPr>
      </w:pPr>
      <w:r>
        <w:rPr>
          <w:rFonts w:ascii="Times New Roman" w:hAnsi="Times New Roman"/>
          <w:i/>
          <w:color w:val="000000"/>
          <w:sz w:val="20"/>
        </w:rPr>
        <w:t>IntelGenx notes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7, prior to October 2024, the Company's notes receivable with IntelGenx included the IntelGenx Term Loan, the 2023 Initial Notes, the 2023 Subsequent Notes, the DIP Loan, and the 2023 Term Loan Note. The fair value of these instruments were estimated based on significant inputs not observable in the market, which represents a Level 3 measurement within the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Considering relevant facts and circumstances, the Company estimated the fair value attributable to the various notes receivables with IntelGenx based on the remaining fair value of the underlying collateral. As the 2023 Initial Notes, 2023 Subsequent Notes, and the 2023 Term Loan Note were not secured by the underlying collateral, the Company determined the fair value of IntelGenx Unsecured Debt to be zero as of March 31, 2025 and December 31, 2024, respectively. For the three months ended March 31, 2024, the Company recognized a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 million gain in Change in fair value of assets and liabilities, net relating to the IntelGenx notes receivable in its unaudited condensed consolidated statements of operations. For more information regarding the Company's equity investments, refer to Notes 7 in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Contingent consideration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liability - related party in the fair value measurement table in this Note 8 above relate to milestone and royalty payments in connection with the acquisition of Perception Neuroscience Holdings, Inc. (“Perception”). The fair value of the contingent consideration liabilities—related parties was determined based on significant inputs not observable in the market, which represent Level 3 measurements within the fair value hierarchy. The fair value of the contingent milestone and royalty liabilities was estimated based on the discounted cash flow valuation technique. The technique considered the following unobservable inputs: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probability and timing of achieving the specified milestones and royalties as of each valuation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probability of executing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first year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discount rates.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Perception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Perception contingent milestone and royalty liabilities could change in future periods depending on prospects for the outcome of R-Ketamine milestone meetings with the FDA or other regulatory authorities, and whether the Company realizes a significant increase or decrease in sales upon commercialization. The most significant assumptions in the discounted cash flow valuation technique that impacts the fair value of the milestone contingent consideration are the projected milestone timing and the probability of the milestone being met. Further, significant assumptions in the discounted cash flow that impacts the fair value of the royalty contingent consideration are the projected revenue over ten years, the timing of royalties on commercial revenue, and the probability of success rate for a commercial R-Ketamine product. The valuations as of March 31, 2025 and December 31, 2024, respectively, used inputs that were unobservable inputs with the most significant being the discount rates for royalties on projected commercial revenue and clinical milestones and probability of success estimates over the following ten years, which represent Level 3 measurements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contingent milestone and royalty liabilities for Perception was estimated to be $0.1 million and $0.1 million as of March 31,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Perception contingent consideration liability – related parties was calculated using the following significant unobservable inputs: </w:t>
      </w:r>
    </w:p>
    <w:tbl>
      <w:tblPr>
        <w:tblW w:w="10205" w:type="dxa"/>
        <w:jc w:val="left"/>
        <w:tblInd w:w="0" w:type="dxa"/>
        <w:tblLayout w:type="fixed"/>
        <w:tblCellMar>
          <w:top w:w="28" w:type="dxa"/>
          <w:left w:w="28" w:type="dxa"/>
          <w:bottom w:w="28" w:type="dxa"/>
          <w:right w:w="28" w:type="dxa"/>
        </w:tblCellMar>
      </w:tblPr>
      <w:tblGrid>
        <w:gridCol w:w="3741"/>
        <w:gridCol w:w="346"/>
        <w:gridCol w:w="3221"/>
        <w:gridCol w:w="146"/>
        <w:gridCol w:w="1159"/>
        <w:gridCol w:w="146"/>
        <w:gridCol w:w="1446"/>
      </w:tblGrid>
      <w:tr>
        <w:trPr/>
        <w:tc>
          <w:tcPr>
            <w:tcW w:w="37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Probability of the milestone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 with scenario-based method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 for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 for royalties on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- 4.3%</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Probability of success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Contingent Consideration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contingent consideration liabilities in the fair value measurement table in this Note 8 above relates to milestone payments in connection with the acquisition of DemeRx IB, Inc. ("DemeRx"), and TryptageniX. The fair value of the contingent consideration liabilities were determined based on significant inputs not observable in the market, which represent Level 3 measurements within the fair value hierarchy. The fair value of the contingent milestone and royalty liabilities was estimated based on the discounted cash flow valuation technique. The technique considered the following unobservable inputs: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market-based discount rates,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probability and timing of achieving the specified milestones as of each valuation date.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DemeRx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the Company and DemeRx, Inc. entered into a Stock Purchase and Framework Agreement which resulted in the Company's acquisition of DemeRx, Inc.’s equity ownership of DemeRx IB (the “Stock Purchase”), in exchange for consideration that included, among other items, earn-out consideration of up to an additional $8.0 million payable to DemeRx, Inc. contingent upon the achievement of certain development milestones directly related to DemeRx’s oral capsule formulation of ibogaine (“DMX-1002”) program. The earn-out consideration was recorded at fair value in contingent consideration as a liability under ASC 480 and the fair value is adjusted each quarter and reflected in other income and expense in the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DemeRx contingent milestone could change in future periods depending on prospects for the outcome of ibogaine milestone meetings with the FDA or other regulatory authorities. The most significant assumptions in the discounted cash flow valuation technique that impacts the fair value of the milestone contingent consideration are the projected milestone timing and the probability of the milestone being met. The valuations as of March 31, 2025 and December 31, 2024 used inputs that were unobservable inputs with the most significant being the discount rates and the probability of success of certain clinical milestones, which represent Level 3 measurements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contingent milestone for DemeRx was estimated to be $0.2 million and $0.2 million as of March 31,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DemeRx contingent consideration liability – related parties was calculated using the following significant unobservable inputs: </w:t>
      </w:r>
    </w:p>
    <w:p>
      <w:pPr>
        <w:pStyle w:val="TextBody"/>
        <w:bidi w:val="0"/>
        <w:jc w:val="left"/>
        <w:rPr/>
      </w:pPr>
      <w:r>
        <w:rPr/>
        <w:t> </w:t>
      </w:r>
    </w:p>
    <w:tbl>
      <w:tblPr>
        <w:tblW w:w="8136" w:type="dxa"/>
        <w:jc w:val="left"/>
        <w:tblInd w:w="0" w:type="dxa"/>
        <w:tblLayout w:type="fixed"/>
        <w:tblCellMar>
          <w:top w:w="28" w:type="dxa"/>
          <w:left w:w="28" w:type="dxa"/>
          <w:bottom w:w="28" w:type="dxa"/>
          <w:right w:w="28" w:type="dxa"/>
        </w:tblCellMar>
      </w:tblPr>
      <w:tblGrid>
        <w:gridCol w:w="1861"/>
        <w:gridCol w:w="246"/>
        <w:gridCol w:w="3076"/>
        <w:gridCol w:w="1261"/>
        <w:gridCol w:w="146"/>
        <w:gridCol w:w="1546"/>
      </w:tblGrid>
      <w:tr>
        <w:trPr/>
        <w:tc>
          <w:tcPr>
            <w:tcW w:w="18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 Range</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contingent consideration:</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Discount rate</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11.7%-11.8%</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Probability of the milestone</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- 5.0%</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TryptageniX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contingent liability for TryptageniX was estimated to be an immaterial amount as of March 31, 2025 and December 31, 2024. The contingent liability is comprised of R&amp;D milestone success fee payments and royalties payments. The fair value of the success fee liability was estimated based on the scenario-based method within the income approach. The fair value of the contingent liability for TryptageniX was determined based on significant unobservable inputs, including the discount rate, estimated probabilities of success, and timing of achieving certain clinical milestones. The fair value of the royalties liability was determined to be de minimis as the products are in the early stages of development. The Company will continue to assess the appropriateness of the fair value of the contingent liability as the products continue through development.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14, in December 2023 and April 2024, the Company entered into subscription agreements with each of a noteholder and a related party noteholder, respectively (together the "Subscription Agreements") whereby each of the noteholder and the related party noteholder exchanged their ATAI Life Sciences AG notes (the "Old AG Notes") into the same principal amount of new convertible notes issued by ATAI Life Sciences N.V. (the "New NV Notes"). The exchange resulted in the New NV Notes conversion option no longer meeting the equity classification criteria. Accordingly, at the time of the exchange modification, the Company bifurcated the conversion option and reclassified the conversion option fair value from equity to a liability and is included in Short-term convertible promissory notes and derivative liability and Short-term convertible promissory notes and derivative liability - related party, respectively, in the unaudited condensed consolidated balance sheets. The conversion option is measured at fair value on a quarterly basis and any changes in the fair value will be recorded as Change in fair value of assets and liabilities, net, a component of other income (expense), net in the unaudited condensed consolidated statements of operations. For the three months ended March 31, 2025 and 2024, the Company recognized a loss of $0.1 million and $1.7 million, respectively, as a result of the change in fair value of the New NV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conversion option fair value was estimated utilizing the Black-Scholes option pricing model and is classified as Level 3 in the fair value hierarchy based on the nature of the inputs and valuation techniques. The Black-Scholes option pricing model is based on the estimated market value of the underlying common stock at the valuation measurement date, the remaining contractual term of the conversion feature, risk-free interest rates, expected dividends, and expected volatility of the price of the underlying common stock. The expected volatility is based upon the historical volatility of daily lognormal returns on atai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input that is included in the valuation of the conversion feature as of March 31, 2025 and December 31, 2024 is volatility of 100.0% and 75.0%,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roll forward of the aggregate fair values of the Company’s financial instruments described above, for which fair value is determined using Level 3 inputs (in thousands):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8"/>
        <w:gridCol w:w="346"/>
        <w:gridCol w:w="533"/>
        <w:gridCol w:w="1396"/>
        <w:gridCol w:w="346"/>
        <w:gridCol w:w="346"/>
        <w:gridCol w:w="426"/>
        <w:gridCol w:w="821"/>
        <w:gridCol w:w="146"/>
        <w:gridCol w:w="146"/>
        <w:gridCol w:w="385"/>
        <w:gridCol w:w="741"/>
        <w:gridCol w:w="146"/>
        <w:gridCol w:w="146"/>
        <w:gridCol w:w="515"/>
        <w:gridCol w:w="1344"/>
        <w:gridCol w:w="394"/>
      </w:tblGrid>
      <w:tr>
        <w:trPr/>
        <w:tc>
          <w:tcPr>
            <w:tcW w:w="20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Beckley Psytech Additional Warrants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Liabilities -</w:t>
              <w:br/>
              <w:t xml:space="preserve">Related Parties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 xml:space="preserve">Liabilities </w:t>
            </w:r>
            <w:r>
              <w:rPr>
                <w:rFonts w:ascii="Times New Roman" w:hAnsi="Times New Roman"/>
                <w:b/>
                <w:color w:val="000000"/>
                <w:sz w:val="11"/>
              </w:rPr>
              <w:t>(ii)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NV Notes Conversion Feature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including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br/>
      </w: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6"/>
        </w:rPr>
        <w:t>Includes Perception milestone based contingent consideration liability.</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6"/>
        </w:rPr>
        <w:t>Includes contingent consideration liability related to DemeRx IB Stock Purchase as well as contingent consideration liability related to the TryptageniX research and development milestone success fee payments and royalties payments.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5"/>
        <w:gridCol w:w="346"/>
        <w:gridCol w:w="281"/>
        <w:gridCol w:w="865"/>
        <w:gridCol w:w="146"/>
        <w:gridCol w:w="146"/>
        <w:gridCol w:w="324"/>
        <w:gridCol w:w="847"/>
        <w:gridCol w:w="146"/>
        <w:gridCol w:w="146"/>
        <w:gridCol w:w="392"/>
        <w:gridCol w:w="756"/>
        <w:gridCol w:w="166"/>
        <w:gridCol w:w="146"/>
        <w:gridCol w:w="312"/>
        <w:gridCol w:w="814"/>
        <w:gridCol w:w="166"/>
        <w:gridCol w:w="146"/>
        <w:gridCol w:w="301"/>
        <w:gridCol w:w="786"/>
        <w:gridCol w:w="146"/>
        <w:gridCol w:w="146"/>
        <w:gridCol w:w="290"/>
        <w:gridCol w:w="759"/>
        <w:gridCol w:w="397"/>
      </w:tblGrid>
      <w:tr>
        <w:trPr/>
        <w:tc>
          <w:tcPr>
            <w:tcW w:w="12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IntelGenx Convertible Notes 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IntelGenx Investments Held at Fair Value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Liability -</w:t>
              <w:br/>
              <w:t xml:space="preserve">Related Parties </w:t>
            </w:r>
            <w:r>
              <w:rPr>
                <w:rFonts w:ascii="Times New Roman" w:hAnsi="Times New Roman"/>
                <w:b/>
                <w:color w:val="000000"/>
                <w:sz w:val="11"/>
              </w:rPr>
              <w:t>(ii)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Contingent</w:t>
              <w:br/>
              <w:t>Consideration</w:t>
              <w:br/>
              <w:t xml:space="preserve">Liability </w:t>
            </w:r>
            <w:r>
              <w:rPr>
                <w:rFonts w:ascii="Times New Roman" w:hAnsi="Times New Roman"/>
                <w:b/>
                <w:color w:val="000000"/>
                <w:sz w:val="11"/>
              </w:rPr>
              <w:t>(iii)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NV Notes Conversion Feature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Beckley Psytech Additional Warrants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Initial fair value of instrument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including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2,645</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6"/>
        </w:rPr>
        <w:t>Includes, Initial Warrants, Additional Unit Awards, 2023 Initial Warrants, 2023 Subsequent Warrants, and Call Option Units.</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6"/>
        </w:rPr>
        <w:t xml:space="preserve">Includes Perception's milestone-based contingent consideration liability. </w:t>
        <w:br/>
      </w:r>
      <w:r>
        <w:rPr>
          <w:rFonts w:ascii="Times New Roman" w:hAnsi="Times New Roman"/>
          <w:color w:val="000000"/>
          <w:sz w:val="11"/>
        </w:rPr>
        <w:t>(iii)</w:t>
      </w:r>
      <w:r>
        <w:rPr>
          <w:rFonts w:ascii="Times New Roman" w:hAnsi="Times New Roman"/>
          <w:color w:val="000000"/>
          <w:sz w:val="20"/>
        </w:rPr>
        <w:t xml:space="preserve"> </w:t>
      </w:r>
      <w:r>
        <w:rPr>
          <w:rFonts w:ascii="Times New Roman" w:hAnsi="Times New Roman"/>
          <w:color w:val="000000"/>
          <w:sz w:val="16"/>
        </w:rPr>
        <w:t>Includes the contingent consideration liability related to DemeRx IB Stock Purchase and the contingent consideration liability related to the TryptageniX</w:t>
        <w:br/>
        <w:t>research and development milestone success fee payments and royalties payments.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Prepaid Expenses and Other Current Assets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Prepaid expenses consist of the following (in thousands):</w:t>
      </w:r>
    </w:p>
    <w:p>
      <w:pPr>
        <w:pStyle w:val="TextBody"/>
        <w:bidi w:val="0"/>
        <w:jc w:val="left"/>
        <w:rPr/>
      </w:pPr>
      <w:r>
        <w:rPr/>
        <w:t> </w:t>
      </w:r>
    </w:p>
    <w:tbl>
      <w:tblPr>
        <w:tblW w:w="7865" w:type="dxa"/>
        <w:jc w:val="left"/>
        <w:tblInd w:w="0" w:type="dxa"/>
        <w:tblLayout w:type="fixed"/>
        <w:tblCellMar>
          <w:top w:w="28" w:type="dxa"/>
          <w:left w:w="28" w:type="dxa"/>
          <w:bottom w:w="28" w:type="dxa"/>
          <w:right w:w="28" w:type="dxa"/>
        </w:tblCellMar>
      </w:tblPr>
      <w:tblGrid>
        <w:gridCol w:w="4276"/>
        <w:gridCol w:w="146"/>
        <w:gridCol w:w="340"/>
        <w:gridCol w:w="920"/>
        <w:gridCol w:w="146"/>
        <w:gridCol w:w="146"/>
        <w:gridCol w:w="403"/>
        <w:gridCol w:w="1097"/>
        <w:gridCol w:w="3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consisted of the following (in thousands):</w:t>
      </w:r>
    </w:p>
    <w:p>
      <w:pPr>
        <w:pStyle w:val="TextBody"/>
        <w:bidi w:val="0"/>
        <w:jc w:val="left"/>
        <w:rPr/>
      </w:pPr>
      <w:r>
        <w:rPr/>
        <w:t> </w:t>
      </w:r>
    </w:p>
    <w:tbl>
      <w:tblPr>
        <w:tblW w:w="6885" w:type="dxa"/>
        <w:jc w:val="left"/>
        <w:tblInd w:w="0" w:type="dxa"/>
        <w:tblLayout w:type="fixed"/>
        <w:tblCellMar>
          <w:top w:w="28" w:type="dxa"/>
          <w:left w:w="28" w:type="dxa"/>
          <w:bottom w:w="28" w:type="dxa"/>
          <w:right w:w="28" w:type="dxa"/>
        </w:tblCellMar>
      </w:tblPr>
      <w:tblGrid>
        <w:gridCol w:w="3496"/>
        <w:gridCol w:w="146"/>
        <w:gridCol w:w="349"/>
        <w:gridCol w:w="911"/>
        <w:gridCol w:w="146"/>
        <w:gridCol w:w="146"/>
        <w:gridCol w:w="414"/>
        <w:gridCol w:w="108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Laboratory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substantially all of the Company’s in use manufacturing equipment, laboratory and office equipment, computer equipment, and construction-in-process were located in Canada and were comprised of assets acquired in connection with the Company's acquisition of IGX. The Company had $1.0 million of manufacturing equipment not in service located in Germany also acquired in connection with the Company's acquisition of IGX. As of March 31, 2025 and December 31, 2024, approximately $0.7 million and $0.7 million of the Company's remaining property and equipment was located in Germany, respectively, and $0.1 million and $0.1 million in the U.S,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depreciation and amortization expense on property and equipment was $0.1 million and an immaterial amount, respectively.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Intangible Assets, Goodwill, and Digital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acquisition of IGX (see Note 4 above), the Company acquired ownership and intellectual property rights to IGX’s Oral Thin Film (“OTF”) platform technology. This platform technology serves as the foundation and platform to deliver active pharmaceutical ingredients for both the Company’s and other potential customer products. Collectively, the OTF Technologies will serve as a platform for both the Company's and other potential customers' own products. The Company determined there to be legal and competitive factors that limit the useful life of these OTF Technologies and therefore designated them as a definite-lived intangible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acquired a manufacturing contract with regards to IGX's right to manufacture gBelBuca, a generic version of Belbuca®, an opioid that is used to manage chronic pain severe enough to require daily, around-the-clock, long-term treatment. This manufacturing contract includes potential future royalty and milestone payments, for which the Company is now eligible to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acquisition method of accounting, the Company allocated the acquisition cost for the transaction to the underlying assets acquired and liabilities assumed, based upon the estimated fair values of those assets and liabilities at the date of acquisition. The value allocated to the OTF Technology was $2.4 million, which will be amortized over the remaining estimated useful life of approximately 10 years. The value allocated to the gBelBuca contract was $0.2 million, which will be amortized over the estimated remaining useful life of approximately 19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definite-lived intangible assets above, the Company's definite-lived intangible assets also includes $0.6 million of internal-use software costs, which will be amortized over the estimated remaining useful life of approximately 2 years.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 owned various intellectual property, including clinical trial data from previously consolidated or wholly-owned subsidiaries and other intangible assets. The Company has designated each of these intangible assets to be indefinite-lived as there are no characteristics that limit each asset's useful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31, 2024, the Company determined they were no longer pursuing digital therapeutics as an enabling technology for their product compounds. The Company performed an impairment assessment and concluded their in-process digital therapeutics application platforms were fully impaired. The carrying value of these indefinite-lived intangible assets prior to the Company's assessment was $0.9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carrying value of the intangible assets may be impaired or that the estimated remaining useful lives of these assets may warrant revision. As of March 31, 2025, the Company determined that no intangible assets were impaired and that there are no facts or circumstances that would indicate a need for changing the estimated remaining useful lives of these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8"/>
        <w:gridCol w:w="1179"/>
        <w:gridCol w:w="146"/>
        <w:gridCol w:w="181"/>
        <w:gridCol w:w="436"/>
        <w:gridCol w:w="146"/>
        <w:gridCol w:w="374"/>
        <w:gridCol w:w="780"/>
        <w:gridCol w:w="151"/>
        <w:gridCol w:w="260"/>
        <w:gridCol w:w="630"/>
        <w:gridCol w:w="146"/>
        <w:gridCol w:w="146"/>
        <w:gridCol w:w="181"/>
        <w:gridCol w:w="436"/>
        <w:gridCol w:w="146"/>
        <w:gridCol w:w="374"/>
        <w:gridCol w:w="780"/>
        <w:gridCol w:w="151"/>
        <w:gridCol w:w="263"/>
        <w:gridCol w:w="548"/>
        <w:gridCol w:w="151"/>
        <w:gridCol w:w="260"/>
        <w:gridCol w:w="630"/>
        <w:gridCol w:w="146"/>
        <w:gridCol w:w="196"/>
      </w:tblGrid>
      <w:tr>
        <w:trPr/>
        <w:tc>
          <w:tcPr>
            <w:tcW w:w="136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Remaining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Amortization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Impairment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OTF Technology</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gBelBuca manufacturing contract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Internal-use software</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In-process research and development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amortization expense related to these intangible assets was $0.1 million and zero,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future amortization expense for intangible assets subsequent to March 31, 2025 is as follows (in thousands):</w:t>
      </w:r>
    </w:p>
    <w:p>
      <w:pPr>
        <w:pStyle w:val="TextBody"/>
        <w:bidi w:val="0"/>
        <w:jc w:val="left"/>
        <w:rPr/>
      </w:pPr>
      <w:r>
        <w:rPr/>
        <w:t> </w:t>
      </w:r>
    </w:p>
    <w:tbl>
      <w:tblPr>
        <w:tblW w:w="1919" w:type="dxa"/>
        <w:jc w:val="left"/>
        <w:tblInd w:w="0" w:type="dxa"/>
        <w:tblLayout w:type="fixed"/>
        <w:tblCellMar>
          <w:top w:w="28" w:type="dxa"/>
          <w:left w:w="28" w:type="dxa"/>
          <w:bottom w:w="28" w:type="dxa"/>
          <w:right w:w="28" w:type="dxa"/>
        </w:tblCellMar>
      </w:tblPr>
      <w:tblGrid>
        <w:gridCol w:w="946"/>
        <w:gridCol w:w="211"/>
        <w:gridCol w:w="57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remaining useful lives of all amortizable assets is approximately 9.8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acquisition of IGX (see Note 4 above), the Company also recognized $0.3 million in goodwill, which was the difference between the amount of consideration associated with the transaction in excess of the fair value of net assets acquired. The goodwill is primarily attributable to the synergies of merging operations, expected future cash flows and the value of the acquired workforce. As of March 31, 2025 and December 31, 2024, the balance of goodwill was approximately $0.3 million, which is recorded as Goodwill on the Company's unaudited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paid approximately $5.0 million in cash in return for approximately 58 Bitcoins. As of March 31, 2025, the Company's holdings in digital assets consisted exclusively of Bitcoin.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350-60, the Company’s digital assets are measured at fair value based on quoted prices on active exchanges, and are therefore categorized as Level 1 investments in the fair value hierarchy. The Company recognizes changes in the fair value of its digital assets as gains or losses in Change in fair value of digital assets on the Company's unaudited condensed consolidated statements of operations during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details of the activity related to the Company’s digital assets as of March 31, 2025 and December 31, 2024, are as follows (fair value in thousands):</w:t>
      </w:r>
    </w:p>
    <w:p>
      <w:pPr>
        <w:pStyle w:val="TextBody"/>
        <w:bidi w:val="0"/>
        <w:jc w:val="left"/>
        <w:rPr/>
      </w:pPr>
      <w:r>
        <w:rPr/>
        <w:t> </w:t>
      </w:r>
    </w:p>
    <w:tbl>
      <w:tblPr>
        <w:tblW w:w="5387" w:type="dxa"/>
        <w:jc w:val="left"/>
        <w:tblInd w:w="0" w:type="dxa"/>
        <w:tblLayout w:type="fixed"/>
        <w:tblCellMar>
          <w:top w:w="28" w:type="dxa"/>
          <w:left w:w="28" w:type="dxa"/>
          <w:bottom w:w="28" w:type="dxa"/>
          <w:right w:w="28" w:type="dxa"/>
        </w:tblCellMar>
      </w:tblPr>
      <w:tblGrid>
        <w:gridCol w:w="3106"/>
        <w:gridCol w:w="146"/>
        <w:gridCol w:w="146"/>
        <w:gridCol w:w="466"/>
        <w:gridCol w:w="146"/>
        <w:gridCol w:w="146"/>
        <w:gridCol w:w="275"/>
        <w:gridCol w:w="745"/>
        <w:gridCol w:w="2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Digital assets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Digital assets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Accrued Liabilities</w:t>
      </w:r>
    </w:p>
    <w:p>
      <w:pPr>
        <w:pStyle w:val="TextBody"/>
        <w:bidi w:val="0"/>
        <w:spacing w:before="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liabilities consist of the following (in thousands):</w:t>
      </w:r>
    </w:p>
    <w:tbl>
      <w:tblPr>
        <w:tblW w:w="8090" w:type="dxa"/>
        <w:jc w:val="left"/>
        <w:tblInd w:w="0" w:type="dxa"/>
        <w:tblLayout w:type="fixed"/>
        <w:tblCellMar>
          <w:top w:w="28" w:type="dxa"/>
          <w:left w:w="28" w:type="dxa"/>
          <w:bottom w:w="28" w:type="dxa"/>
          <w:right w:w="28" w:type="dxa"/>
        </w:tblCellMar>
      </w:tblPr>
      <w:tblGrid>
        <w:gridCol w:w="4501"/>
        <w:gridCol w:w="146"/>
        <w:gridCol w:w="340"/>
        <w:gridCol w:w="920"/>
        <w:gridCol w:w="146"/>
        <w:gridCol w:w="146"/>
        <w:gridCol w:w="403"/>
        <w:gridCol w:w="1097"/>
        <w:gridCol w:w="3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accounting, legal, and other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(“ROU”) assets and operating lease liabilities are recognized based on the present value of the future minimum lease payments over the lease term at the commencement date. The operating lease ROU asset also includes lease payments made, lease incentives, and initial direct costs incurred,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office space under long-term operating leases that expire at various dates through 2028. The Company generally has options to renew lease terms on its facilities, which may be exercised at the Company's sole discretion.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acquisition of IGX on October 2, 2024, the Company assumed lessee rights to approximately 43,000 square feet of office, lab, and manufacturing spaces in Montréal, Canada which expire in February 2026. The lease terms include an option to renew for an additional 5 years, which may be exercised at the Company's sole discretion.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amended the lease agreements to exercise the aforementioned renewal option. As a result, the leases will now expire in February 2031. The Company adjusted the Operating lease right-of-use asset, net and lease liability by approximately $1.7 million to reflect the extended lease term. The amendment between the Company and the landlord does not entitle the Company to lease additional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remaining lease term for the Company’s operating leases as of March 31, 2025 was 5.0 years. The weighted-average discount rate for the Company’s operating leases as of March 31, 2025 was 10.3%.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assets and lease liabilities related to the Company’s operating leases are as follows (in thousands):</w:t>
      </w:r>
    </w:p>
    <w:p>
      <w:pPr>
        <w:pStyle w:val="TextBody"/>
        <w:bidi w:val="0"/>
        <w:jc w:val="left"/>
        <w:rPr/>
      </w:pPr>
      <w:r>
        <w:rPr/>
        <w:t> </w:t>
      </w:r>
    </w:p>
    <w:tbl>
      <w:tblPr>
        <w:tblW w:w="8750" w:type="dxa"/>
        <w:jc w:val="left"/>
        <w:tblInd w:w="0" w:type="dxa"/>
        <w:tblLayout w:type="fixed"/>
        <w:tblCellMar>
          <w:top w:w="28" w:type="dxa"/>
          <w:left w:w="28" w:type="dxa"/>
          <w:bottom w:w="28" w:type="dxa"/>
          <w:right w:w="28" w:type="dxa"/>
        </w:tblCellMar>
      </w:tblPr>
      <w:tblGrid>
        <w:gridCol w:w="2371"/>
        <w:gridCol w:w="3136"/>
        <w:gridCol w:w="340"/>
        <w:gridCol w:w="920"/>
        <w:gridCol w:w="146"/>
        <w:gridCol w:w="146"/>
        <w:gridCol w:w="403"/>
        <w:gridCol w:w="1097"/>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Right-of-use assets</w:t>
            </w:r>
          </w:p>
        </w:tc>
        <w:tc>
          <w:tcPr>
            <w:tcW w:w="31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 lease right-of-use asset, net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Current lease liabilities</w:t>
            </w:r>
          </w:p>
        </w:tc>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Current portion of lease liability</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Non-current lease liabilities</w:t>
            </w:r>
          </w:p>
        </w:tc>
        <w:tc>
          <w:tcPr>
            <w:tcW w:w="31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Non-current portion of lease liability</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Expenses related to leases is recorded on a straight-line basis over the lease term. The following table summarizes lease costs by component for the three months ended March 31, 2025 and 2024 (in thousands):</w:t>
      </w:r>
    </w:p>
    <w:p>
      <w:pPr>
        <w:pStyle w:val="TextBody"/>
        <w:bidi w:val="0"/>
        <w:jc w:val="left"/>
        <w:rPr/>
      </w:pPr>
      <w:r>
        <w:rPr/>
        <w:t> </w:t>
      </w:r>
    </w:p>
    <w:tbl>
      <w:tblPr>
        <w:tblW w:w="9332" w:type="dxa"/>
        <w:jc w:val="left"/>
        <w:tblInd w:w="0" w:type="dxa"/>
        <w:tblLayout w:type="fixed"/>
        <w:tblCellMar>
          <w:top w:w="28" w:type="dxa"/>
          <w:left w:w="28" w:type="dxa"/>
          <w:bottom w:w="28" w:type="dxa"/>
          <w:right w:w="28" w:type="dxa"/>
        </w:tblCellMar>
      </w:tblPr>
      <w:tblGrid>
        <w:gridCol w:w="1846"/>
        <w:gridCol w:w="146"/>
        <w:gridCol w:w="4021"/>
        <w:gridCol w:w="146"/>
        <w:gridCol w:w="404"/>
        <w:gridCol w:w="807"/>
        <w:gridCol w:w="280"/>
        <w:gridCol w:w="280"/>
        <w:gridCol w:w="404"/>
        <w:gridCol w:w="807"/>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Cost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Statement of Operations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 expenses: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 expenses: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 expenses: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minimum commitments under all non-cancelable operating leases are as follows (in thousands): </w:t>
      </w:r>
    </w:p>
    <w:p>
      <w:pPr>
        <w:pStyle w:val="TextBody"/>
        <w:bidi w:val="0"/>
        <w:jc w:val="left"/>
        <w:rPr/>
      </w:pPr>
      <w:r>
        <w:rPr/>
        <w:t> </w:t>
      </w:r>
    </w:p>
    <w:tbl>
      <w:tblPr>
        <w:tblW w:w="4225" w:type="dxa"/>
        <w:jc w:val="left"/>
        <w:tblInd w:w="0" w:type="dxa"/>
        <w:tblLayout w:type="fixed"/>
        <w:tblCellMar>
          <w:top w:w="28" w:type="dxa"/>
          <w:left w:w="28" w:type="dxa"/>
          <w:bottom w:w="28" w:type="dxa"/>
          <w:right w:w="28" w:type="dxa"/>
        </w:tblCellMar>
      </w:tblPr>
      <w:tblGrid>
        <w:gridCol w:w="2886"/>
        <w:gridCol w:w="146"/>
        <w:gridCol w:w="211"/>
        <w:gridCol w:w="571"/>
        <w:gridCol w:w="41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for the three months ended March 31, 2025 and 2024 are as follows (in thousands):</w:t>
      </w:r>
    </w:p>
    <w:p>
      <w:pPr>
        <w:pStyle w:val="TextBody"/>
        <w:bidi w:val="0"/>
        <w:jc w:val="left"/>
        <w:rPr/>
      </w:pPr>
      <w:r>
        <w:rPr/>
        <w:t> </w:t>
      </w:r>
    </w:p>
    <w:tbl>
      <w:tblPr>
        <w:tblW w:w="9785" w:type="dxa"/>
        <w:jc w:val="left"/>
        <w:tblInd w:w="0" w:type="dxa"/>
        <w:tblLayout w:type="fixed"/>
        <w:tblCellMar>
          <w:top w:w="28" w:type="dxa"/>
          <w:left w:w="28" w:type="dxa"/>
          <w:bottom w:w="28" w:type="dxa"/>
          <w:right w:w="28" w:type="dxa"/>
        </w:tblCellMar>
      </w:tblPr>
      <w:tblGrid>
        <w:gridCol w:w="6296"/>
        <w:gridCol w:w="146"/>
        <w:gridCol w:w="340"/>
        <w:gridCol w:w="920"/>
        <w:gridCol w:w="146"/>
        <w:gridCol w:w="146"/>
        <w:gridCol w:w="499"/>
        <w:gridCol w:w="1001"/>
        <w:gridCol w:w="291"/>
      </w:tblGrid>
      <w:tr>
        <w:trPr/>
        <w:tc>
          <w:tcPr>
            <w:tcW w:w="6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Debt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Convertible Promissory Notes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Promissory Notes—Related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November 2018 and October 2020, the Company executed a terms and conditions agreement (the “Convertible Note Agreement”) under which it would issue convertible promissory notes to investors. An investor would become a party to the Convertible Note Agreement and would be issued a convertible promissory note by executing and delivering a subscription form. In November 2018 and October 2020, certain investors subscribed to the Convertible Note Agreement and the Company issued convertible promissory notes in the aggregate principal amount of €1.0 million or $1.2 million (collectively, the “Convertible Notes”). The Convertible Notes are non-interest-bearing, unsecured and are due and payable on September 30, 2025, unless previously redeemed, converted, purchased or cancelled (the “Maturity Date”). Each Convertible Note has a face value of €1 and is convertible into one share of ATAI Life Sciences AG upon the payment of €17.00. Conversion rights may be exercised by a noteholder at any time prior to maturity, except during certain periods subsequent to the consummation of the IPO. The Convertible Notes may be declared for early redemption by the noteholders upon occurrence of specified events of default, including payment default, insolvency and a material adverse change in the Company’s business, operations or financial or other condition. Upon early redemption, the conversion right with respect to the Convertible Notes may no longer be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both the embedded conversion feature, which is exercisable by the investor at any time during the maturity, and the contingent put option, which would trigger upon the occurrence of an event of default of the Convertible Notes, do not meet the criteria to be bifurcated and separately accounted for as derivatives and the notes were recorded net of discount and issuance costs, or a reduction to the carrying value of the notes issued in November 2018, with a corresponding adjustment to additional paid in capital. The discount is being amortized using the effective interest method over the period from the respective date of issuance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October 2020 notes were issued in exchange for services previously provided by the Company’s founders and other shareholders and were fully vested and non-forfeitable upon issuance. These instruments were therefore considered share based compensation awards to non-employees, and the instruments were initially measured and recorded at their grant date fair value based on a Black-Scholes option- pricing model. The fair value of the October 2020 notes exceeded the principal amount that will be due at maturity. Therefore, at initial recognition, the October 2020 notes were accounted for as convertible debt issued at a substantial premium, such that the face value of the note is recorded as a liability and the premium was recorded as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the Company undertook a corporate reorganization. Upon the corporate reorganization, ATAI Life Sciences N.V became the sole shareholder of ATAI Life Sciences AG. In connection with the corporate reorganization, all former shareholders of ATAI Life Sciences AG contributed their shares of ATAI Life Sciences AG to ATAI Life Sciences N.V. and received sixteen shares in ATAI Life Sciences N.V. for every one share of ATAI Life Sciences AG. In 2023, certain November 2018 noteholders elected to convert some of their convertible promissory notes into shares of ATAI Life Sciences N.V for an immaterial amount. As of December 31, 2023, all notes issued in November 2018 have been converted and the only outstanding Convertible Notes are those issued in October 2020. As of March 31, 2025, the Convertible notes issued in October 2020 continue to be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Exchange of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and April 2024, a noteholder and a related party noteholder, respectively, of the Convertible Notes issued in October 2020 and ATAI Life Sciences AG executed exchange agreements (together the "Exchange Agreements") where each noteholder agreed to exchange its Convertible Notes issued by ATAI Life Sciences AG ("Old AG Notes") into the same principal amount of new convertible notes issued by ATAI Life Sciences NV ("New NV Notes"). The New NV Notes are non-interest-bearing, unsecured and are due and payable on September 30, 2025, unless previously redeemed, converted, purchased or cancelled (the “Maturity Date”). Each New NV Note has a face value of €1 and is convertible into sixteen shares of ATAI Life Sciences NV upon the payment of €17.00. Conversion rights may be exercised by a noteholder at any time prior to maturity. The New NV Notes may be declared for early redemption by the noteholders upon occurrence of specified events of default, including payment default, insolvency and a material adverse change in the Company’s business, operations or financial or other condition. Upon early redemption, the conversion right with respect to the New NV Notes may no longer be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and April 2024, the Company entered into subscription agreements with each of the noteholder and related party noteholder, respectively (together the "Subscription Agreements") and exchanged their respective Old AG Notes into New NV Notes. The Company determined that the note exchanges were modifications of the debt. The Exchange Agreements and Subscription Agreements resulted in the New NV Notes conversion option no longer meeting the equity classification criteria. Accordingly, at the time of the Exchange Agreements modification, the Company bifurcated the conversion option and reclassified the conversion option fair value from equity to a liability and is included in Convertible promissory notes and derivative liability in the consolidated balance sheets. The conversion option is measured at fair value on a quarterly basis and any changes in the fair value will be recorded as Change in fair value of assets and liabilities, net, in the consolidated statements of operations. For the three months ended March 31, 2025 and 2024, the Company recognized a loss of $0.1 million $1.7 million, respectively, as a result of the change in fair value of the New NV Notes.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fair value of the Short-term convertible Notes and derivative liability was $1.9 million and $1.8 million, respectively. As of March 31, 2025 and December 31, 2024, the fair value of the Short-term convertible promissory note and derivative liability - related party was $1.2 million and $1.2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(the “Closing Date”), the Company and certain subsidiaries, as guarantors, and Hercules Capital, Inc., a Maryland corporation (“Hercules”), entered into a Loan and Security Agreement the “Hercules Loan Agreement”. The Hercules Loan Agreement provides for term loans in an aggregate principal amount of up to $175.0 million under multiple tranches (as amended by that certain First Amendment to the Loan and Security Agreement, dated as of March 13, 2023, the "First Amendment”, that Second Amendment to the Loan and Security Agreement, dated as of May 26, 2023, the “Second Amendment,” that Third Amendment to the Loan and Security Agreement, dated August 14, 2024, the “Third Amendment,” and that Fourth Amendment to the Loan and Security Agreement, dated as of January 6, 2025, the "Fourth Amendment," collectively, the “2022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2023, the Company, ATAI Life Sciences AG (“ATAI AG” and together with the Company, the “Borrowers”) and certain subsidiary guarantors of the Company (collectively, the “Subsidiary Guarantors”) entered into the Second Amendment with the several banks and other financial institutions or entities from time to time parties to the Hercules Loan Agreement, defined below, (collectively, the “Lenders”) and Hercules, in its capacity as administrative agent and collateral agent for itself and for the Lenders (the “Agent”) which amended that certain Loan and Security Agreement, dated August 9, 2022 (as amended by the First Amendment, the “Existing Loan Agreement,” and as amended by the Second Amendment, the “Hercules Loan Agreement”) to, among other things, (i) extend the availability of Tranche 1B of $10.0 million, from May 1, 2023, under the Existing Loan Agreement, to November 15, 2024, (ii) extend the availability of Tranche 1C of $15.0 million, from December 15, 2023, under the Existing Loan Agreement, to December 15, 2024, (iii) provide Tranche 1D of $20.0 million, available upon the earlier of (x) the full draw of Tranche 1C and (y) the expiration of Tranche 1C availability, through February 15, 2025, (iv) extend the availability of Tranche 2 of $15.0 million, from June 30, 2024, under the Existing Loan Agreement, subject to certain conditions under the Hercules Loan Agreement, to the earlier of (x) the full draw of Tranche 1D and (y) the expiration of Tranche 1D availability, through March 15, 2025, subject to the Tranche 2 Draw Test, (v) extend the timeline to achieve the second amortization extension condition, from June 30, 2024, in the Existing Loan Agreement, to December 15, 2024, (vi) amend the Tranche 2 Draw Test, satisfaction of which is a condition to draw Tranche 2 under the Hercules Loan Agreement and (vii) extend the financial covenant commencement date, from the later of (x) July 1, 2023, and (y) the date that the outstanding debt under the facility is equal to or greater than $40.0 million, in the Existing Loan Agreement, to the later of (x) May 1, 2024, and (y) the date that the outstanding debt under the facility is equal to or greater than $30.0 million, provided, that the financial covenant is waived if the Company has a market capitalization of at least $550.0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2024 (the “Third Amendment Date”), the Borrowers and certain Subsidiary Guarantors” entered into the Third Amendment with the Lenders and Hercules, in its capacity as the Agent, which amended that certain Loan and Security Agreement, dated August 9, 2022 (as amended by the First Amendment, the Second Amendment and the Third Amendment, the “2022 Term Loan Agreement”) to, among other things, (i) provide Tranche 1B of $5.0 million on the Third Amendment Date, (ii) reduce the remainder of available Tranche 1 to $25.0 million, and extend the availability thereof (x) with respect to Tranche 1C, to be available after the Third Amendment Date until March 31, 2025, and (y) with respect to Tranche 1D, to be available upon the earlier to occur of (1) March 31, 2025 and (2) full borrowing of Tranche 1C, until June 30, 2025, (iii) increase Tranche 2 to $30.0 million, and extend the availability thereof to be available upon the earlier to occur of (1) June 30, 2025, and (2) full borrowing of Tranche 1D, until September 30, 2025, subject to the Tranche 2 Draw Test, (iv) extend the availability of Tranche 3 of $100.0 million, through March 31, 2026, available subject to lender’s investment committee approval, (v) extend the amortization date to September 1, 2025, and extend the timeline to achieve the second amortization extension condition, to June 30, 2025, upon the occurrence of which the amortization date may be extended to March 1, 2026, (vi) amend the financial covenant to commence on October 1, 2024, and require that so long as the Company’s market capitalization is less than $550.0 million, Borrowers shall maintain qualified cash equal to at least 50% of the sum of (x) the amount of outstanding debt under the facility plus (y) Qualified Cash A/P Amount (as defined in the Agreement), or upon the occurrence of certain conditions, 70% of the sum of (x) the amount of outstanding debt under the facility plus (y) Qualified Cash A/P Amount, and (vii) reduce the interest rate to equal the greater of (x) 9.05% or (y) prime rate plus 4.30% (or, upon achieving certain conditions, (y) shall equal prime rate plus 4.05%).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6, 2025 (the “Fourth Amendment Date”), the Borrowers and certain Subsidiary Guarantors entered into the Fourth Amendment with the Lenders and Hercules, in its capacity as the Agent, which amended that certain Loan and Security Agreement, dated August 9, 2022 (as amended by the First Amendment, the Second Amendment, the Third Amendment, and the Fourth Amendment the “2022 Term Loan Agreement”) to, among other things, consent to the conversion of ATAI AG from a German stock corporation (Aktiengesellschaft – AG) into a German limited liability company (Gesellschaft mit beschränkter Haftung – GmbH).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2022 Term Loan Facility will mature on August 1, 2026 (the “Maturity Date”), which may be extended until February 1, 2027 if the Company raises at least $175.0 million of unrestricted new net cash proceeds from certain permitted sources after the Closing Date and prior to June 30, 2025, and satisfies certain other specified conditions (the “Extension Condition Two”). The outstanding principal balance of the 2022 Term Loan Facility bears interest at a floating interest rate per annum equal to the greater of either (i) the prime rate as reported in the Wall Street Journal plus 4.30% and (ii) 9.05%; provided, that if the Extension Condition Two is satisfied, the rate of interest in the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foregoing clause (i) is prime rate as reported in The Wall Street Journal plus 4.05%. Accrued interest is payable monthly following the funding of each term loan advance. The Company may make payments of interest only, without any loan amortization payments until September 1, 2025, which date may be extended to March 1, 2026 if Extension Condition Two is achieved. At the end of the interest only period, the Company is required to begin repayment of the outstanding principal of the 2022 Term Loan Facility in equal monthly installments.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2022 Term Loan Agreement contains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at all times commencing from the Closing Date, which includes a cap on the amount of cash that can be held by, among others, certain of our foreign subsidiaries in Australia and the United Kingdom. In addition, the financial covenant under the 2022 Term Loan Agreement requires that beginning on October 1, 2024, the Company shall maintain Qualified Cash in an amount no less than the sum of (1) 50% of the outstanding amount under the 2022 Term Loan Facility, and (2) the amount of the Borrowers’ and Subsidiary Guarantors’ accounts payable that have not been paid within 180 days from the invoice date of the relevant account payable, subject to certain exceptions; provided, upon the occurrence of certain conditions, the Company shall at all times maintain Qualified cash in an amount no less than the sum of (1) 70% of the outstanding amount under the 2022 Term Loan Facility, and (2) the amount of the Borrowers’ and Subsidiary Guarantors’ accounts payable that have not been paid within 180 days from the invoice date of the relevant account payable, subject to certain exceptions; provided, further, that the financial covenant shall not apply on any day that the Company's market capitalization is at least $550.0 million measured on a consecutive 10-business day period immediately prior to such date of measurement and tested on a daily basis. Upon the occurrence of an event of default, including a material adverse effect, subject to certain exceptions, on the Company and ATAI AG’s, taken together, business, operations, properties, assets or financial condition, and subject to any specified cure periods, all amounts owed by the Company may be declared immediately due and payable by the Lenders. As of March 31, 2025, the Company was in compliance with all applicable covenants under the Hercules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is required to make a final payment fee (the “End of Term Charge”) upon the earlier of (i) the Maturity Date, (ii) the date that the Company prepays, in full or in part, the principal balance of the 2022 Term Loan Facility, or (iii) the date that the outstanding balance of the 2022 Term Loan Facility becomes due and payable. The End of Term Charge is 6.95% of the aggregate principal amount of the term loans so repaid or prepaid under the 2022 Term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at its option, prepay the term loans in full or in part, subject to a prepayment penalty equal to (i) 2.00% of the principal amount prepaid if the prepayment occurs on or prior to the first anniversary of the Closing Date, (ii) 1.0% of the principal amount prepaid if the prepayment occurs after the first anniversary and on or prior to the second anniversary of the Closing Date, and (iii) 0.5% of the principal amount prepaid if the prepayment occurs after the second anniversary and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incurred financing expenses related to the Hercules Loan Agreement, which are recorded as an offset to long-term debt on the Company's consolidated balance sheets. These deferred financing costs are being amortized over the term of the debt using the effective interest method, and are included in other income, net in the Company’s unaudited condensed consolidated statements of operations. During the three months ended March 31, 2025 and 2024, interest expense included $0.1 million and $0.1 million of amortized deferred financing costs related to the 2022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Outstanding debt obligations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5"/>
        <w:gridCol w:w="274"/>
        <w:gridCol w:w="960"/>
        <w:gridCol w:w="166"/>
        <w:gridCol w:w="146"/>
        <w:gridCol w:w="345"/>
        <w:gridCol w:w="1105"/>
        <w:gridCol w:w="214"/>
      </w:tblGrid>
      <w:tr>
        <w:trPr/>
        <w:tc>
          <w:tcPr>
            <w:tcW w:w="69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the term charge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discount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end of term charge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 of current maturities and unamortized debt discount and issuance costs</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outstanding debt obligations under the 2022 Term Loan Facility was $21.3 million as of March 31, 2025, and $21.5 million as of December 31, 2024, respectively. The fair value of the debt obligations under the 2022 Term Loan Facility represent Level 3 measurements within the fair value hierarchy.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common shareholders have identical rights. Each common share entitles the holder to one vote on all matters submitted to the shareholders for a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holders of common shares are entitled to receive dividends, as may be declared by the Company’s board of supervisory directors. Upon liquidation, common shareholders will receive distribution on a pro rata basis. As of March 31, 2025 and December 31, 2024, no cash dividends have been declared or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the Company entered into an Open Market Sale Agreement with Jefferies LLC (“Jefferies”), pursuant to which the Company may issue and sell its common shares, nominal value €0.10 per share, having an aggregate offering price of up to $150.0 million, from time to time through an “at the market” equity offering program under which Jefferies will act as sales agent. There have been no sales under the Sales Agreement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entered into an underwriting agreement (the “Underwriting Agreement”) with Berenberg Capital Markets LLC in connection with the issuance and sale by the Company in a public offering of 26,190,477 of its common shares, at a public offering price of $2.10 per share, less underwriting discounts and commissions. The common shares were offered pursuant to a registration statement on Form S-3 filed with the SEC on July 1, 2022 and declared effective on July 11, 2022 as well as a prospectus supplement filed with the SEC on February 13, 2025. Under the terms of the Underwriting Agreement, the Company granted to the Underwriter an option exercisable for 30 days to purchase up to an additional 3,928,571 common shares at the public offering price, less underwriting discounts and commissions. Pursuant to the Underwriting Agreement, the Underwriter exercised the option to purchase the full amount of the additional 3,928,571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from the offering of the common shares were approximately $59.1 million, after deducting the underwriting discounts and commissions and offering expenses payable by the Company.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atai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stock options and restricted stock units (“RSUs”) outstanding under various equity incentive plans, including the 2020 Incentive Plan, 2021 Incentive Plan, and HSOP Plan, which are further described in Note 15 of the Company’s audited consolidated financial statements included in the Company’s Annual Report on Form 10-K filed with the SEC on March 17,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there were no shares available for future grants under the 2020 Incentive Plan and any shares subject to outstanding options originally granted under the 2020 Equity Incentive Plan that terminate, expire or lapse for any reason without the delivery of shares to the holder thereof shall become available for issuance pursuant to the atai Life Sciences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that are expired, terminated, surrendered, or canceled without having been fully exercised will be available for future awards. As of March 31, 2025, 46,066,136 shares were available for future grants under the 2021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257,419 HSOP Options were available for future grants under the HSOP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activity under 2020 Incentive Plan and 2021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 options outstanding noted below consist primarily of both service and performance-based options to purchase common stock. These stock options have a ten-year contractual term. These awards are subject to the risk of forfeiture until vested by virtue of continued employment or service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activity from December 31, 2024 to March 31, 2025:</w:t>
      </w:r>
    </w:p>
    <w:p>
      <w:pPr>
        <w:pStyle w:val="TextBody"/>
        <w:bidi w:val="0"/>
        <w:jc w:val="left"/>
        <w:rPr/>
      </w:pPr>
      <w:r>
        <w:rPr/>
        <w:t> </w:t>
      </w:r>
    </w:p>
    <w:tbl>
      <w:tblPr>
        <w:tblW w:w="9582" w:type="dxa"/>
        <w:jc w:val="left"/>
        <w:tblInd w:w="0" w:type="dxa"/>
        <w:tblLayout w:type="fixed"/>
        <w:tblCellMar>
          <w:top w:w="28" w:type="dxa"/>
          <w:left w:w="28" w:type="dxa"/>
          <w:bottom w:w="28" w:type="dxa"/>
          <w:right w:w="28" w:type="dxa"/>
        </w:tblCellMar>
      </w:tblPr>
      <w:tblGrid>
        <w:gridCol w:w="3481"/>
        <w:gridCol w:w="146"/>
        <w:gridCol w:w="146"/>
        <w:gridCol w:w="1036"/>
        <w:gridCol w:w="166"/>
        <w:gridCol w:w="286"/>
        <w:gridCol w:w="266"/>
        <w:gridCol w:w="590"/>
        <w:gridCol w:w="146"/>
        <w:gridCol w:w="146"/>
        <w:gridCol w:w="257"/>
        <w:gridCol w:w="823"/>
        <w:gridCol w:w="146"/>
        <w:gridCol w:w="146"/>
        <w:gridCol w:w="380"/>
        <w:gridCol w:w="1030"/>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(i)</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(ii)</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24,143,992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 5,502,859 stock options granted in March 2025 with 25% vesting on January 1, 2026 and the remaining over a three-year service period and (b) 3,842,400 stock options that will vest over a four-year service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21,285,906 outstanding unvested stock options includes (a) 13,674,299 stock options that will continue to vest over a one to four-year service period, (b) 5,502,859 stock options granted in March 2025 with 25% vesting on January 1, 2026 and the remaining over a three-year service period (c) 1,016,094 stock options that will vest upon the satisfaction of specified market-based conditions tied to the price of the Company's publicly traded shares, and (d) 992,654 stock options that will continue to vest over a three to four-year service period and upon the satisfaction of specified performance-based vesting conditions, and (e) 100,000 stock options that will continue to vest over a two-year service period and upon the satisfaction of specified market-based conditions tied to the price of the Company's publicly traded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grant-date fair value of options granted during the three months ended March 31, 2025 was $1.25 per option. The weighted-average grant-date fair value of options granted during the three months ended March 31, 2024 was $1.23 per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estimates the fair value of each stock option using the Black-Scholes option-pricing model on the date of grant. During the three months ended March 31, 2025, the assumptions used in the Black-Scholes option pricing model were as follows: </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4111"/>
        <w:gridCol w:w="146"/>
        <w:gridCol w:w="1306"/>
        <w:gridCol w:w="146"/>
        <w:gridCol w:w="135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5.98</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73.4%</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3.78% - 4.15%</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the Company recorded stock-based compensation expense related to stock options of $3.1 million and $5.1 million, respectively.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total unrecognized compensation cost related to the unvested stock options was $25.2 million, which is expected to be recognized over a weighted average period of 2.89 years. </w:t>
      </w:r>
    </w:p>
    <w:p>
      <w:pPr>
        <w:pStyle w:val="TextBody"/>
        <w:bidi w:val="0"/>
        <w:spacing w:before="120" w:after="283"/>
        <w:jc w:val="left"/>
        <w:rPr>
          <w:rFonts w:ascii="Times New Roman" w:hAnsi="Times New Roman"/>
          <w:sz w:val="20"/>
        </w:rPr>
      </w:pPr>
      <w:r>
        <w:rPr>
          <w:rFonts w:ascii="Times New Roman" w:hAnsi="Times New Roman"/>
          <w:i/>
          <w:color w:val="000000"/>
          <w:sz w:val="20"/>
        </w:rPr>
        <w:t>Restricted Stock Unit activity under the 2021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RSUs to certain of its employees under the 2021 Incentive Plan, as part of its equity compensation program. Pursuant to the terms of the applicable award agreements, each RSU represents the right to receive one share of the Company’s common stock. The restricted stock units noted below consist of service-based awards vesting over a two-year period, subject to the risk of forfeiture until vested by virtue of continued employment or service to the Company. The Company reflects restricted stock units as issued and outstanding common stock when vested and the shares have been delivered to the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restricted stock unit activity from December 31, 2024 to March 31, 2025:</w:t>
      </w:r>
    </w:p>
    <w:p>
      <w:pPr>
        <w:pStyle w:val="TextBody"/>
        <w:bidi w:val="0"/>
        <w:jc w:val="left"/>
        <w:rPr/>
      </w:pPr>
      <w:r>
        <w:rPr/>
        <w:t> </w:t>
      </w:r>
    </w:p>
    <w:tbl>
      <w:tblPr>
        <w:tblW w:w="9045" w:type="dxa"/>
        <w:jc w:val="left"/>
        <w:tblInd w:w="0" w:type="dxa"/>
        <w:tblLayout w:type="fixed"/>
        <w:tblCellMar>
          <w:top w:w="28" w:type="dxa"/>
          <w:left w:w="28" w:type="dxa"/>
          <w:bottom w:w="28" w:type="dxa"/>
          <w:right w:w="28" w:type="dxa"/>
        </w:tblCellMar>
      </w:tblPr>
      <w:tblGrid>
        <w:gridCol w:w="2701"/>
        <w:gridCol w:w="146"/>
        <w:gridCol w:w="399"/>
        <w:gridCol w:w="2136"/>
        <w:gridCol w:w="146"/>
        <w:gridCol w:w="146"/>
        <w:gridCol w:w="990"/>
        <w:gridCol w:w="2190"/>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the Company recorded stock-based compensation expense related to restricted stock units of $0.2 million and $0.4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restricted stock units vested during the three months ended March 31, 2025 was $0.8 million. As of March 31, 2025, there was no unrecognized compensation cost related to the unvested stock-based awards.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 activity under HSOP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HSOP Options outstanding noted below consist of service and performance-based options to request the distribution of HSOP Shares. These HSOP Options have a fifteen-year contractual term. These HSOP Options vested over a three to four-year service period. These awards are subject to the risk of forfeiture until vested by virtue of continued employment or service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activity under the HSOP Plan from December 31, 2024 to March 31, 2025:</w:t>
      </w:r>
    </w:p>
    <w:p>
      <w:pPr>
        <w:pStyle w:val="TextBody"/>
        <w:bidi w:val="0"/>
        <w:jc w:val="left"/>
        <w:rPr/>
      </w:pPr>
      <w:r>
        <w:rPr/>
        <w:t> </w:t>
      </w:r>
    </w:p>
    <w:tbl>
      <w:tblPr>
        <w:tblW w:w="9317" w:type="dxa"/>
        <w:jc w:val="left"/>
        <w:tblInd w:w="0" w:type="dxa"/>
        <w:tblLayout w:type="fixed"/>
        <w:tblCellMar>
          <w:top w:w="28" w:type="dxa"/>
          <w:left w:w="28" w:type="dxa"/>
          <w:bottom w:w="28" w:type="dxa"/>
          <w:right w:w="28" w:type="dxa"/>
        </w:tblCellMar>
      </w:tblPr>
      <w:tblGrid>
        <w:gridCol w:w="3481"/>
        <w:gridCol w:w="146"/>
        <w:gridCol w:w="146"/>
        <w:gridCol w:w="931"/>
        <w:gridCol w:w="146"/>
        <w:gridCol w:w="146"/>
        <w:gridCol w:w="266"/>
        <w:gridCol w:w="590"/>
        <w:gridCol w:w="146"/>
        <w:gridCol w:w="146"/>
        <w:gridCol w:w="219"/>
        <w:gridCol w:w="861"/>
        <w:gridCol w:w="146"/>
        <w:gridCol w:w="146"/>
        <w:gridCol w:w="533"/>
        <w:gridCol w:w="877"/>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shown above, the Company did not grant any new HSOP options during the three months ended March 31, 2025 or 204. For the three months ended March 31, 2025 and 2024, the Company recorded stock-based compensation expense of zero and $0.1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there was no unrecognized compensation cost related to the unvested stock-based awards.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Subsidiary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controlled subsidiaries of the Company adopted their own equity incentive plans (each, an “EIP”). Each EIP is generally structured so that the applicable subsidiary, and its affiliates’ employees, directors, officers and consultants are eligible to receive non-qualified and incentive stock options and restricted stock unit awards under their respective EIP. Standard option grants have time-based vesting requirements, generally vesting over a period of four years with a contractual term of ten years. Such time-based stock options use the Black-Scholes option pricing model to determine grant date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the Company recorded share-based compensation expense of an immaterial amount and $0.1 million, respectively, in relation to subsidiary EIPs. As of March 31, 2025, there was an immaterial amount of total unrecognized stock-based compensation expense related to unvested EIP awards to employees and non-employee directors expected to be recognized over a weighted-average period of approximately 0.9 years.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allocated to either research and development or general and administrative expense on the unaudited condensed consolidated statements of operations based on the cost center to which the option holder belongs.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total stock-based compensation expense by function for the three months ended March 31, 2025, which includes expense related to stock options and restricted stock unit awards (in thousands):</w:t>
      </w:r>
    </w:p>
    <w:p>
      <w:pPr>
        <w:pStyle w:val="TextBody"/>
        <w:bidi w:val="0"/>
        <w:jc w:val="left"/>
        <w:rPr/>
      </w:pPr>
      <w:r>
        <w:rPr/>
        <w:t> </w:t>
      </w:r>
    </w:p>
    <w:tbl>
      <w:tblPr>
        <w:tblW w:w="10146" w:type="dxa"/>
        <w:jc w:val="left"/>
        <w:tblInd w:w="0" w:type="dxa"/>
        <w:tblLayout w:type="fixed"/>
        <w:tblCellMar>
          <w:top w:w="28" w:type="dxa"/>
          <w:left w:w="28" w:type="dxa"/>
          <w:bottom w:w="28" w:type="dxa"/>
          <w:right w:w="28" w:type="dxa"/>
        </w:tblCellMar>
      </w:tblPr>
      <w:tblGrid>
        <w:gridCol w:w="3451"/>
        <w:gridCol w:w="146"/>
        <w:gridCol w:w="716"/>
        <w:gridCol w:w="1939"/>
        <w:gridCol w:w="149"/>
        <w:gridCol w:w="149"/>
        <w:gridCol w:w="872"/>
        <w:gridCol w:w="1438"/>
        <w:gridCol w:w="149"/>
        <w:gridCol w:w="149"/>
        <w:gridCol w:w="215"/>
        <w:gridCol w:w="58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 2020 and 2021 Incentive Plans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Equity Plans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total stock-based compensation expense by function for the three months ended March 31, 2024, which includes expense related to stock options and restricted stock unit awards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0"/>
        <w:gridCol w:w="146"/>
        <w:gridCol w:w="638"/>
        <w:gridCol w:w="1729"/>
        <w:gridCol w:w="146"/>
        <w:gridCol w:w="146"/>
        <w:gridCol w:w="211"/>
        <w:gridCol w:w="421"/>
        <w:gridCol w:w="146"/>
        <w:gridCol w:w="146"/>
        <w:gridCol w:w="695"/>
        <w:gridCol w:w="1393"/>
        <w:gridCol w:w="146"/>
        <w:gridCol w:w="146"/>
        <w:gridCol w:w="211"/>
        <w:gridCol w:w="571"/>
        <w:gridCol w:w="194"/>
      </w:tblGrid>
      <w:tr>
        <w:trPr/>
        <w:tc>
          <w:tcPr>
            <w:tcW w:w="3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 2020 and 2021 Incentive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atai</w:t>
              <w:br/>
              <w:t>HSOP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Subsidiary Equity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Income Taxes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Company records its quarterly income tax expense by utilizing an estimated annual effective tax rate applied to its period to date earnings as adjusted for any discrete items arising during the quarter. The tax effects for discrete items are recorded in the period in which they occur. The Company recorded an immaterial amount of income tax expense for both the three months ended March 31, 2025 and 2024, respectively. The income tax expense recorded for the three months ended March 31, 2025 was primarily driven by tax expense of subsidiaries in the United States and the United Kingdom. The primary difference between the effective tax rate and the statutory tax rate relates to the income tax treatment of stock compensation expense, which impacts the current and overall tax expense due to the applicable valuation allowance. The Company continues to maintain a full valuation allowance against its deferred tax assets.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18. Net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and diluted net loss per share attributable to atai stockholders were calculated as follows (in thousands, except share and per share data):</w:t>
      </w:r>
    </w:p>
    <w:p>
      <w:pPr>
        <w:pStyle w:val="TextBody"/>
        <w:bidi w:val="0"/>
        <w:spacing w:before="13" w:after="283"/>
        <w:jc w:val="left"/>
        <w:rPr/>
      </w:pPr>
      <w:r>
        <w:rPr/>
        <w:t> </w:t>
      </w:r>
    </w:p>
    <w:tbl>
      <w:tblPr>
        <w:tblW w:w="10205" w:type="dxa"/>
        <w:jc w:val="left"/>
        <w:tblInd w:w="0" w:type="dxa"/>
        <w:tblLayout w:type="fixed"/>
        <w:tblCellMar>
          <w:top w:w="28" w:type="dxa"/>
          <w:left w:w="28" w:type="dxa"/>
          <w:bottom w:w="28" w:type="dxa"/>
          <w:right w:w="28" w:type="dxa"/>
        </w:tblCellMar>
      </w:tblPr>
      <w:tblGrid>
        <w:gridCol w:w="6778"/>
        <w:gridCol w:w="211"/>
        <w:gridCol w:w="1141"/>
        <w:gridCol w:w="166"/>
        <w:gridCol w:w="146"/>
        <w:gridCol w:w="211"/>
        <w:gridCol w:w="1141"/>
        <w:gridCol w:w="411"/>
      </w:tblGrid>
      <w:tr>
        <w:trPr/>
        <w:tc>
          <w:tcPr>
            <w:tcW w:w="6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EPS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ATAI Life Sciences N.V. shareholders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attributable to ATAI Life Sciences N.V. Stockholders -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176,271,176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158,891,067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ATAI Life Sciences N.V. shareholders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HSOP Shares issued to the Partnership and allocated to the HSOP Participants are not considered outstanding for accounting purposes and not included in the calculation of basic weighted average common shares outstanding in the table above because the HSOP Participants have a forfeitable right to distributions until the HSOP Options vest and are exercised, at which time the right becomes nonforfeitable.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also represents the maximum amount of outstanding shares of potentially dilutive securities that were excluded from the computation of diluted net loss per share attributable to common shareholders for the periods presented because including them would have been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dilutive securities to the Company’s common shares:</w:t>
      </w:r>
    </w:p>
    <w:p>
      <w:pPr>
        <w:pStyle w:val="TextBody"/>
        <w:bidi w:val="0"/>
        <w:jc w:val="left"/>
        <w:rPr/>
      </w:pPr>
      <w:r>
        <w:rPr/>
        <w:t> </w:t>
      </w:r>
    </w:p>
    <w:tbl>
      <w:tblPr>
        <w:tblW w:w="8094" w:type="dxa"/>
        <w:jc w:val="left"/>
        <w:tblInd w:w="0" w:type="dxa"/>
        <w:tblLayout w:type="fixed"/>
        <w:tblCellMar>
          <w:top w:w="28" w:type="dxa"/>
          <w:left w:w="28" w:type="dxa"/>
          <w:bottom w:w="28" w:type="dxa"/>
          <w:right w:w="28" w:type="dxa"/>
        </w:tblCellMar>
      </w:tblPr>
      <w:tblGrid>
        <w:gridCol w:w="5101"/>
        <w:gridCol w:w="146"/>
        <w:gridCol w:w="146"/>
        <w:gridCol w:w="1036"/>
        <w:gridCol w:w="146"/>
        <w:gridCol w:w="146"/>
        <w:gridCol w:w="146"/>
        <w:gridCol w:w="1036"/>
        <w:gridCol w:w="1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43,573,274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HSOP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short-term convertible promissory notes -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short-term 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58,537,631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57,864,804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contracts in the normal course of business with clinical research organizations for clinical trials, with contract manufacturing organizations for clinical supplies and with other vendors for preclinical studies, supplies and other services and products for operating purposes.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indemnifications of varying scope and terms to vendors, lessors, business partners, supervisory board members, officers and other parties with respect to certain matters, including, but not limited to, losses arising out of breach of such agreements, services to be provided by the Company, negligence or willful misconduct of the Company, violations of law by the Company, or intellectual property infringement claims made by third parties. In addition, the Company has entered into indemnification agreements with supervisory directors and certain officers and employees that will require the Company, among other things, to indemnify them against certain liabilities that may arise by reason of their status or service as supervisory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unable to predict the outcome of these matters or the ultimate legal and financial liability, and at this time cannot reasonably estimate the possible loss or range of loss and accordingly has not accrued a related liability. At each reporting date, the Company evaluates whether or not a potential loss amount or a potential range of loss is probable and reasonably estimable under the provisions of the authoritative guidance that addresses accounting for contingencies.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 License Agreements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Otsuka License and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3, Perception entered into the Otsuka Agreement under which Perception granted exclusive rights to Otsuka to develop and commercialize products containing arketamine, known as PCN-101 in Japan for the treatment of any depression, including treatment-resistant depression, or major depressive disorder or any of their related symptoms or conditions at its own cost and expense. Perception retained all rights to PCN-101 outside of Japan. In January 2025, Otsuka provided a notice of termination pursuant to the Otsuka Agreement, effective April 24, 2025. Following the effective termination date, the Company will no longer be eligible to receive any milestone payments or royalties pursuant to the Otsuka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and 2024 there were no milestones achieved or revenue recognized under the Otsuka Agreement. </w:t>
      </w:r>
    </w:p>
    <w:p>
      <w:pPr>
        <w:pStyle w:val="TextBody"/>
        <w:bidi w:val="0"/>
        <w:spacing w:before="100" w:after="283"/>
        <w:jc w:val="left"/>
        <w:rPr>
          <w:rFonts w:ascii="Times New Roman" w:hAnsi="Times New Roman"/>
          <w:b/>
          <w:i/>
          <w:color w:val="000000"/>
          <w:sz w:val="20"/>
        </w:rPr>
      </w:pPr>
      <w:r>
        <w:rPr>
          <w:rFonts w:ascii="Times New Roman" w:hAnsi="Times New Roman"/>
          <w:b/>
          <w:i/>
          <w:color w:val="000000"/>
          <w:sz w:val="20"/>
        </w:rPr>
        <w:t>National University Corporation Chiba University License Agreement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 August 2017, Perception entered into a license agreement (the “CHIBA License”), with the National University Corporation Chiba University (“CHIBA”), relating to Perception’s drug discovery and development initiatives. Under the CHIBA License, Perception has been granted a worldwide exclusive license under certain patents and know-how of CHIBA to research, develop, manufacture, use and commercialize therapeutic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respectively, the Company made no material payments pursuant to the CHIBA License.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Allergan License Agreement</w:t>
      </w:r>
    </w:p>
    <w:p>
      <w:pPr>
        <w:pStyle w:val="TextBody"/>
        <w:bidi w:val="0"/>
        <w:spacing w:before="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2020, Recognify entered into an amended and restated license agreement (the “Allergan License Agreement”), with Allergan Sales, LLC (“Allergan”), under which Allergan granted Recognify an exclusive (non-exclusive as to know-how), sublicensable and worldwide license under certain patent rights and know-how controlled by Allergan to develop, manufacture and commercialize certain products for use in all fields including the treatment of certain diseases and conditions of the central nervous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respectively, Recognify made no material payments pursuant to the Allergan License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Dalriada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2021, Invyxis, Inc. (“Invyxis”), a wholly owned subsidiary of the Company, entered into an exclusive services and license agreement (the “Invyxis ESLA”) with Dalriada Drug Discovery Inc. (“Dalriada”). Under the Invyxis ESLA, Dalriada is to exclusively collaborate with Invyxis to develop products, services and processes with the specific purpose of generating products consisting of new chemical entities. Invyxis will pay Dalriada up to $12.8 million in service fees for research and support services. In addition, Invyxis will pay Dalriada success milestone payments and low single digit royalty payments based on net product sales. Invyxis has the right, but not the obligation, to settle future royalty payments based on net product sales with the Company's common stock. Invyxis and Dalriada will determine the equity settlement based on a price per share determined by both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in accordance with the Invyxis ESLA, Invyxis paid an upfront deposit of $1.1 million, which was capitalized as prepaid research and development expense. In December 2022, the Company executed an amendment to the Invyxis ESLA, which reduced the upfront deposit from $1.1 million to $0.5 million. As such, the remaining $0.6 million was applied against research and development expense incurred. The Company will expense the remaining deposit as the services are performed as a component of research and development expense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recorded zero and $0.4 million, respectively, as research and development expense in the unaudited condensed consolidated statement of operations. During the three months ended March 31, 2025 and 2024, respectively, Invyxis made no other service fee payments to Dalriada.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Rizafilm LLC License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3, in January 2025, the Company, through its wholly-owned subsidiary IGX, entered into an APA and a Supply Agreement with Rizafilm. Under the APA, IGX sold licensing and intellectual property rights of IGX's oral thin film technology and under the Supply Agreement, subject to approval by the FDA, IGX will serve as the sole manufacturer of Rizafilm's products over a five year term with an automatic renewal option for an additional five years unless either party provides sufficient written notice.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recognized $0.2 million of the upfront fee paid by Rizafilm as license revenue. Also, for the three months ended March 31, 2025, no purchase orders have been placed by Rizafilm in connection to the Supply Agreement.</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Psilera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entered into an Intellectual Property Assignment &amp; License Agreement with Psilera, Inc. (“Psilera”) under which the Company has acquired Psilera's DMT (dimethyltryptamine) patent portfolio, including all granted and pending patents related to DMT and other related psychedelics. In return, the Company paid Psilera an upfront fee of $0.8 million upon execution of the agreement, which is recognized as research and development expenses in the unaudited condensed consolidated statement of operations. The Company may also be required to pay Psilera up to approximately $82.3 million upon the achievement of certain regulatory and sales milestones, in addition to certain sales-based royalties over a ten-year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the regulatory and sales milestones to meet the requirements of contingent consideration acquired via an asset acquisition. As described in Note 2 above, the Company has elected the practical expedient under FASB's Statement 141 for the accounting of the regulatory and sales milestones. Under this guidance, the contingent consideration will be recorded once the contingencies are resolved and the consideration is issued or becomes issuable.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did not make any other payments to Psilera in connection with the Intellectual Property Assignment &amp; License Agreement. Additionally, as of March 31, 2025, the Company did not record any contingent liabilities in connection with the Psilera Agreement.</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21.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atai 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formation of atai in 2018, the Company entered into a series of transactions with its shareholders Apeiron, among other shareholders, contributed their investments in COMPASS, Innoplexus and Juvenescence to the Company in exchange for the Company's common stock of equivalent value. Apeiron is the family office of the Company’s co-founder who owns 23.3% and 20.1% of the outstanding common stock in the Company as of March 31, 2025 and December 31,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Consulting Agreement with Mr. Angermayer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and Mr. Angermayer entered into the Termination and New Consultancy Agreement (the “2024 Consultancy Agreement"). Pursuant to the 2024 Consultancy Agreement, the parties agreed to terminate the original consulting agreement between ATAI AG and Mr. Angermayer dated January 16, 2021 (the “Original Consultancy Agreement”) and enter into a new consultancy agreement between the Company and Mr. Angermayer to, among other things, extend the term of the Original Consultancy Agreement to January 5, 2028, increase the services to include various business objectives (including related to business and finance, communication and investor relations), and provide for the grant of an option to purchase 1,658,094 shares of the Company that vests over four years in part based on continued service and in part based on the Company's total shareholder return compared to the four-year total shareholder return of the companies comprising the XBI.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2024 Consulting Agreement, for the three months ended March 31, 2025 and 2024, the Company recognized $0.1 million and an immaterial amount, respectively, of stock-based compensation included in general and administrative expense in its unaudited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the Company recognized an immaterial amount and $0.1 million, respectively, of stock-based compensation included in general and administrative expense in its unaudited condensed consolidated statements of operations related to Mr. Angermayer's service as Chairman of the supervisory board.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Apeiron's Purchase of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mentioned in Note 15 above, in February 2025, the Company entered into an Underwriting Agreement in connection with the issuance and sale by the Company in a public offering of its common shares. Apeiron participated in the public offering, purchasing 10,835,718 common shares at a price per share of $2.10.</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22. Defined Contribution Plan</w:t>
      </w:r>
    </w:p>
    <w:p>
      <w:pPr>
        <w:pStyle w:val="TextBody"/>
        <w:bidi w:val="0"/>
        <w:spacing w:before="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 defined contribution retirement savings plan under Section 401(k) of the Internal Revenue Code. This plan allows eligible employees to defer a portion of their annual compensation. Employees may make contributions by having the Company withhold a percentage of their salary up to the Internal Revenue Service annual limit. The Company recognized $0.1 million and $0.2 million of related compensation expense for the three months ended March 31, 2025 and 2024, respectively.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23. Corporate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the Company eliminated approximately 25% of its global workforce as part of a restructuring initiative in order to reduce operational costs and extend the Company's cash runway.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expense related to the workforce reduction was incurred primarily during the three months ended March 31, 2025, resulting in $1.1 million of restructuring expense, which consisted of $1.1 million of cash expenditures for severance and other employee separation-related costs and an immaterial amount of stock-based compensation expense. Of the restructuring expense, for the three months ended March 31, 2025, $0.4 million and $0.7 million were recorded in research and development expenses and general and administrative expenses, respectively, in the unaudited condensed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net restructuring liabilities totaled approximately $1.1 million, which are included in accrued expenses on the Company's unaudited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eliminated approximately 10% of its global workforce in order to more effectively allocate its research and development and other resources supporting the revised business and program priorities and to reduce operational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Restructuring expense related to the workforce reduction was incurred primarily during the three months ended March 31, 2024, resulting in $1.9 million of restructuring expense, which consisted of $1.5 million of cash expenditures for severance and other employee separation-related costs and $0.4 million of stock-based compensation expense. Of the restructuring expense, for the three months ended March 31, 2024, $0.3 million and $1.6 million were recorded in research and development expenses and general and administrative expenses, respectively, in the unaudited condensed consolidated statement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net restructuring liabilities totaled approximately $0.3 million included in accrued expenses on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restructuring charges and related payments for the three months ended March 31, 2025 and 2024 is as follows (in thousands):</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3946"/>
        <w:gridCol w:w="146"/>
        <w:gridCol w:w="211"/>
        <w:gridCol w:w="571"/>
        <w:gridCol w:w="166"/>
        <w:gridCol w:w="146"/>
        <w:gridCol w:w="211"/>
        <w:gridCol w:w="631"/>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expensed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impact of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of restructuring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Restructuring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24.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organized into one operating and reportable segment dedicated to the global discovery, research, development, and commercialization of highly effective mental health treatments to transform patient outcomes. The Company's Chief Executive Officer is the Company's Chief Operating Decision Maker (“CODM”) and makes key operating decisions and assesses performance on a consolidated basis. The Company's determination that it operates as a single operating segment is consistent with the financial information regularly reviewed by the CODM.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primary operations are located in the United States, Germany, and Canada. The measure of segment assets is reported on the Company's consolidated balance sheets as total assets. Refer to Note 10 for more information regarding the Company's property and equipment assets by geographic region.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generated any revenues to date from the sale of its product candidates and does not anticipate generating any revenues from the sale of its product candidates unless and until it successfully completes development and obtains regulatory approval to market its product candidates. The Company does recognize revenue through its licenses of intellectual property and development agreements. Refer to Notes 3 and 20 for more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single reportable segment, the CODM uses net loss that is reported on the consolidated statements of operations to allocate resources, predominantly during the annual budget and forecasting process. The CODM also uses non-financial inputs and qualitative information to evaluate the Company's performance, establish compensation, monitor budget versus actual results, and decide the level of investment in the Company's various operating activities and other capital allocation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 net loss, including significant segment expenses, for the three months ended March 31, 2025 and 2024 consisted of the following (in thousands): </w:t>
      </w:r>
    </w:p>
    <w:tbl>
      <w:tblPr>
        <w:tblW w:w="7240" w:type="dxa"/>
        <w:jc w:val="left"/>
        <w:tblInd w:w="0" w:type="dxa"/>
        <w:tblLayout w:type="fixed"/>
        <w:tblCellMar>
          <w:top w:w="28" w:type="dxa"/>
          <w:left w:w="28" w:type="dxa"/>
          <w:bottom w:w="28" w:type="dxa"/>
          <w:right w:w="28" w:type="dxa"/>
        </w:tblCellMar>
      </w:tblPr>
      <w:tblGrid>
        <w:gridCol w:w="3911"/>
        <w:gridCol w:w="146"/>
        <w:gridCol w:w="276"/>
        <w:gridCol w:w="966"/>
        <w:gridCol w:w="217"/>
        <w:gridCol w:w="191"/>
        <w:gridCol w:w="276"/>
        <w:gridCol w:w="966"/>
        <w:gridCol w:w="291"/>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VLS-01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EMP-01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RL-007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Discovery (Non-hallucinogenic)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programs</w:t>
            </w:r>
            <w:r>
              <w:rPr>
                <w:rFonts w:ascii="Times New Roman" w:hAnsi="Times New Roman"/>
                <w:i/>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Personnel and employee-related expenses</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Non-cash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Expenses</w:t>
            </w:r>
            <w:r>
              <w:rPr>
                <w:rFonts w:ascii="Times New Roman" w:hAnsi="Times New Roman"/>
                <w:i/>
                <w:color w:val="000000"/>
                <w:sz w:val="13"/>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Personnel and employee-related expenses</w:t>
            </w:r>
            <w:r>
              <w:rPr>
                <w:rFonts w:ascii="Times New Roman" w:hAnsi="Times New Roman"/>
                <w:color w:val="000000"/>
                <w:sz w:val="13"/>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Non-cash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Accounting and 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Legal &amp; Intellectual Property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Other Expenses</w:t>
            </w:r>
            <w:r>
              <w:rPr>
                <w:rFonts w:ascii="Times New Roman" w:hAnsi="Times New Roman"/>
                <w:i/>
                <w:color w:val="000000"/>
                <w:sz w:val="13"/>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(26,465</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(i)</w:t>
      </w:r>
      <w:r>
        <w:rPr>
          <w:rFonts w:ascii="Times New Roman" w:hAnsi="Times New Roman"/>
          <w:color w:val="000000"/>
          <w:sz w:val="20"/>
        </w:rPr>
        <w:t xml:space="preserve"> </w:t>
      </w:r>
      <w:r>
        <w:rPr>
          <w:rFonts w:ascii="Times New Roman" w:hAnsi="Times New Roman"/>
          <w:color w:val="000000"/>
          <w:sz w:val="17"/>
        </w:rPr>
        <w:t>Includes direct expenses related to PCN-101, KUR-101, RLS-01, EGX-121, IGX, enabling technologies, and other discovery programs.</w:t>
        <w:br/>
      </w:r>
      <w:r>
        <w:rPr>
          <w:rFonts w:ascii="Times New Roman" w:hAnsi="Times New Roman"/>
          <w:color w:val="000000"/>
          <w:sz w:val="11"/>
        </w:rPr>
        <w:t>(ii)</w:t>
      </w:r>
      <w:r>
        <w:rPr>
          <w:rFonts w:ascii="Times New Roman" w:hAnsi="Times New Roman"/>
          <w:color w:val="000000"/>
          <w:sz w:val="20"/>
        </w:rPr>
        <w:t xml:space="preserve"> </w:t>
      </w:r>
      <w:r>
        <w:rPr>
          <w:rFonts w:ascii="Times New Roman" w:hAnsi="Times New Roman"/>
          <w:color w:val="000000"/>
          <w:sz w:val="17"/>
        </w:rPr>
        <w:t>Includes labor, benefits, and personnel-based restructuring expenses.</w:t>
        <w:br/>
      </w:r>
      <w:r>
        <w:rPr>
          <w:rFonts w:ascii="Times New Roman" w:hAnsi="Times New Roman"/>
          <w:color w:val="000000"/>
          <w:sz w:val="11"/>
        </w:rPr>
        <w:t xml:space="preserve">(iii) </w:t>
      </w:r>
      <w:r>
        <w:rPr>
          <w:rFonts w:ascii="Times New Roman" w:hAnsi="Times New Roman"/>
          <w:color w:val="000000"/>
          <w:sz w:val="17"/>
        </w:rPr>
        <w:t>Includes, professional consulting services, facilities costs, technology and communication costs, and miscellaneous fees.</w:t>
        <w:br/>
      </w:r>
      <w:r>
        <w:rPr>
          <w:rFonts w:ascii="Times New Roman" w:hAnsi="Times New Roman"/>
          <w:color w:val="000000"/>
          <w:sz w:val="11"/>
        </w:rPr>
        <w:t>(iv)</w:t>
      </w:r>
      <w:r>
        <w:rPr>
          <w:rFonts w:ascii="Times New Roman" w:hAnsi="Times New Roman"/>
          <w:color w:val="000000"/>
          <w:sz w:val="20"/>
        </w:rPr>
        <w:t xml:space="preserve"> </w:t>
      </w:r>
      <w:r>
        <w:rPr>
          <w:rFonts w:ascii="Times New Roman" w:hAnsi="Times New Roman"/>
          <w:color w:val="000000"/>
          <w:sz w:val="17"/>
        </w:rPr>
        <w:t>Includes benefit from research and development tax credit, change in fair value of assets and liabilities, net, change in fair value of digital assets, foreign exchange gains (losses), net, benefit (provision) for income taxes, and losses from investments in equity method investees, net of tax.</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25.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Escrow Drawdown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 2025, pursuant to the terms of the Escrow Agreement, Beckley Psytech, at its sole discretion, drew $10.0 million from the escrow account and the Company was credited 6,024,096 Series C shares.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Payoff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 2025, the Company and Hercules entered into a payoff letter for a voluntary prepayment with respect to the Hercules Loan Agreement (the “Payoff Letter”). Pursuant to the Payoff Letter, on May 2, 2025 (the “Payoff Date”), the Borrower paid off the outstanding loan amount of approximately $21.8 million in full in repayment of the Company’s outstanding obligations under the Hercules Loan Agreement, and thereby terminated the Hercules Loan Agreement. Due to the early prepayment, the Borrower incurred a prepayment fee equal to 0.50% of the outstanding principal balance for a total of $0.1 million, which was offset by a savings of approximately $2.1 million of interest due under the full amortization payment schedule.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mda"/>
      <w:bookmarkEnd w:id="13"/>
      <w:r>
        <w:rPr>
          <w:rFonts w:ascii="Times New Roman" w:hAnsi="Times New Roman"/>
          <w:b/>
          <w:color w:val="000000"/>
          <w:sz w:val="20"/>
        </w:rPr>
        <w:t>Item 2. Management’s Discussion and Analysis of Fina</w:t>
      </w:r>
      <w:bookmarkStart w:id="14" w:name="item_7_mda"/>
      <w:bookmarkEnd w:id="14"/>
      <w:r>
        <w:rPr>
          <w:rFonts w:ascii="Times New Roman" w:hAnsi="Times New Roman"/>
          <w:b/>
          <w:color w:val="000000"/>
          <w:sz w:val="20"/>
        </w:rPr>
        <w:t>ncial Condition and Results of Operations.</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thereto included in this Quarterly Report and our audited consolidated financial statements and related notes thereto for the year ended December 31, 2024, included in our Form 10-K (the "Annual Report") filed with the SEC on March 17, 2025.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 "Risk Factors" in our Annual Report and may be updated from time to time in our other filings with the SEC.</w:t>
      </w:r>
    </w:p>
    <w:p>
      <w:pPr>
        <w:pStyle w:val="TextBody"/>
        <w:bidi w:val="0"/>
        <w:spacing w:before="220" w:after="283"/>
        <w:jc w:val="left"/>
        <w:rPr>
          <w:rFonts w:ascii="Times New Roman" w:hAnsi="Times New Roman"/>
          <w:i/>
          <w:color w:val="000000"/>
          <w:sz w:val="20"/>
        </w:rPr>
      </w:pPr>
      <w:r>
        <w:rPr>
          <w:rFonts w:ascii="Times New Roman" w:hAnsi="Times New Roman"/>
          <w:i/>
          <w:color w:val="000000"/>
          <w:sz w:val="20"/>
        </w:rPr>
        <w:t>All references to years, unless otherwise noted, refer to our fiscal years, which end on December 31. Unless the context otherwise requires, all references in this subsection to “we,” “us,” “our,” “atai” or the “Company” refer to atai and its consolidated subsidiaries.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on a mission to develop highly effective mental health treatments to transform patient outcomes. Founded in 2018, atai emerged from the urgent need for better mental health solutions for patients who are under-served by current treatment options. We are advancing a pipeline of product candidates designed to address the complex nature of mental health disorders. We believe that these investigational compounds have the potential to become rapid-acting, durable, and commercially scalable therapies for mental health patients in need of new treatment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Mental health disorders are highly prevalent and estimated to affect more than one billion people globally. The economic burden of these disorders is substantial and is growing rapidly. Between 2009 and 2019, spending on mental health care in the United States increased by more than 50%, reaching $225 billion, and a Lancet Commission report estimates that the global economic cost will reach $16 trillion by 2030. While current treatments, such as selective serotonin reuptake inhibitors (“SSRIs”) and serotonin-norepinephrine reuptake inhibitors (“SNRIs”) are well established and effective for certain patients, approximately 65% of patients do not achieve remission of their symptoms after up to four antidepressant treatment trials, translating to a significant unmet medical need.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Since our inception in 2018, we have focused substantially all of our efforts and financial resources on acquiring and developing product and technology rights, establishing our platform, building our intellectual property portfolio and conducting research and development activities for our product candidates within our atai companies that we consolidate based on our controlling financial interest of such entities. We are advancing a pipeline of product candidates designed to address the complex nature of mental health disorders. We believe that these investigational compounds have the potential to become rapid-acting, durable, and commercially scalable therapies for mental health patients in need of new treatment options.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We do not have any products approved for sale and have not generated any revenue from product sales; however, we have recognized revenue from license and research and development arrangements. We have funded our operations to date primarily with proceeds from the sale of our common shares and issuances of convertible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is focused on developing rapid-acting, robust, and durable mental health treatments that can deliver large-scale patient impact. We are committed to leading a new era of mental health treatment – one that not only offers relief from symptoms, but the possibility of an improved quality of life and lasting change. We pursue this in two ways: we develop novel product candidates in-house and we make strategic investments in companies developing promising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Core Psychedelic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built a diversified pipeline of psychedelic product candidates that target mental health disorders that we believe have significant unmet medical need. Our in-house programs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VLS-01 (Dimethyltryptamine (“DMT”)) for treatment-resistant depression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EMP-01(R-3,4-methylenedioxy-methamphetamine ("R-MDMA")) for social anxiety disorder (“SAD”);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discovery program to identify novel, non-hallucinogenic 5-HT2AR agonists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psychedelics are emerging as novel breakthrough therapies for mental health disorders, such as depression, supported by growing scientific evidence, recent regulatory advancements and increasing patient and physician acceptance. Clinical studies have demonstrated the potential safety and efficacy profile of psychedelics, particularly their rapid onset of effect and sustained efficacy after a short course of administration. We believe these programs, which include both novel molecular entities and optimized variants of known compounds, have the potential to address significant unmet needs in mental health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commitment to innovation extends to early-stage drug discovery through our discovery platform. Intellectual property development has been essential to our strategy since inception, particularly through key investments in novel chemical entity ("NCE") development. We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made substantial progress in our drug discovery efforts to date, synthesizing and screening more than 750 compounds and identifying novel scaffolds that display potential in targeting mental health disorders.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Beckley Psytech Strategic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strategic investment in Beckley Psytech Limited ("Beckley Psytech"), a private clinical-stage biopharmaceutical company developing two investigational compounds: BPL-003, mebufotenin benzoate, for TRD and alcohol use disorder ("AUD"), and ELE-101, psilocin, for the treatment of major depressive disorder ("MDD"). Our investment in Beckley Psytech is included in Other Investments in our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Recognify Life Sciences Strategic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strategic investment in Recognify Life Sciences, Inc. ("Recognify"), a company developing RL-007, an investigational pro-cognitive neuromodulator for the treatment of cognitive impairment associated with schizophrenia (“CIAS”). We hold a 51.9% ownership percentage in Recognify, and have consolidated this subsidiary into our consolidated financial statements with the noncontrolling interest reflected in our consolidated balance sheets and the portion of net earnings attributable to the noncontrolling interests reflected in our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IntelGenx Corp.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we acquired IntelGenx Corp. (“IGX”), a subsidiary of IntelGenx Technologies Corp. (“IntelGenx”), a drug delivery company focused on the development and manufacturing of novel oral thin film products for the pharmaceutical market and for our development candidate, VLS-01.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Capital Allocation and Strategic Value Capture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our strategy, we provide the necessary funding and operational support to our programs to maximize their probability of success in clinical development and commercialization. We also regularly review the status of our programs to assess whether there are alternative forms of ownership, partnership or other forms of collaboration that would optimize our economic interests and the success of our programs. To that end, we are focusing on clinical phase programs and business development that we expect to generate meaningful data in the near term, and, therefore, prioritizing programs and opportunities that we believe have the highest return potential and value. As a result, in late 2023, we finalized and entered into agreements through which we disposed of our equity interests in Psyber, Inc. and TryptageniX Inc. In 2024, our strategic investment in Beckley Psytech Limited added more programs to our diverse portfolio of clinical-stage psychedelic product candidates with multiple upcoming clinical readouts. We are also exploring other opportunities, including but not limited to seeking strategic partnership options, for example, with Recognify Life Sciences, Inc. and Perception Neuroscience Holdings, Inc. In 2024, we finalized and entered into agreements through which we disposed of our equity interest in Psyprotix, Inc. and Kures,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and March 2025, we conducted a reduction in force of approximately 10% and 25%, respectively, of our global workforce aligning with our current business model. Refer to Note 23 in the Notes to the unaudited condensed consolidated financial statements in Part I, Item 1 for further information.</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Our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pipeline encompasses product candidates across multiple neuropsychiatric indications including depression, anxiety and CIAS. The table below summarizes the status of our core product candidate portfolio, including those in development by the companies in which we are invested, as of the date of this Quarterly Report.</w:t>
      </w:r>
      <w:r>
        <w:rPr>
          <w:rFonts w:ascii="Times New Roman" w:hAnsi="Times New Roman"/>
          <w:sz w:val="20"/>
        </w:rPr>
        <w:drawing>
          <wp:inline distT="0" distB="0" distL="0" distR="0">
            <wp:extent cx="7086600" cy="2828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86600" cy="2828925"/>
                    </a:xfrm>
                    <a:prstGeom prst="rect">
                      <a:avLst/>
                    </a:prstGeom>
                  </pic:spPr>
                </pic:pic>
              </a:graphicData>
            </a:graphic>
          </wp:inline>
        </w:drawing>
      </w:r>
    </w:p>
    <w:p>
      <w:pPr>
        <w:pStyle w:val="TextBody"/>
        <w:bidi w:val="0"/>
        <w:spacing w:before="100" w:after="283"/>
        <w:jc w:val="left"/>
        <w:rPr>
          <w:rFonts w:ascii="Times New Roman" w:hAnsi="Times New Roman"/>
          <w:b/>
          <w:i/>
          <w:color w:val="000000"/>
          <w:sz w:val="20"/>
        </w:rPr>
      </w:pPr>
      <w:r>
        <w:rPr>
          <w:rFonts w:ascii="Times New Roman" w:hAnsi="Times New Roman"/>
          <w:b/>
          <w:i/>
          <w:color w:val="000000"/>
          <w:sz w:val="20"/>
        </w:rPr>
        <w:t>Psychedelic Programs &amp; Strategic Investments</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VLS-01: DMT for TRD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VLS-01 is an investigational proprietary oral transmucosal film formulation of DMT applied to the buccal surface, designed to fit within the established two-hour interventional psychiatry treatment paradigm.</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Continued to enroll patients in Elumina, a Phase 2, multicenter, double-blind, randomized, placebo-controlled trial to assess the safety and efficacy of repeated doses of VLS-01 in approximately 142 patients with TRD. Topline data are anticipated in the first quarter of 2026.</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Presented data from the Phase 1 study of VLS-01 at the Society of Biological Psychiatry ("SOBP") annual meeting.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EMP-01: R-MDMA for SAD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EMP-01 is an oral formulation of R-MDMA that demonstrated unique, dose-dependent subjective effects in a Phase 1 trial that was generally found to be more similar to classical psychedelics than to racemic MDMA.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Dosed the first patient in the exploratory, randomized, double-blind, placebo-controlled Phase 2 study of EMP-01 to assess the safety, tolerability and efficacy in approximately 60 adults with SAD. Topline data are anticipated in the first quarter of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Novel 5-HT2A Receptor Agonists (including the discovery of non-hallucinogenic neuroplastogens)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Novel 5-HT2A receptor agonists were discovered that maintain non-hallucinogenic potential based on their inability to fully-substitute for a traditional psychedelic in rodent drug discrimination studies. These differentiated 5-HT2A receptor agonists are being further optimized and studied in a series of animal models to assess therapeutic potential.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Presented a poster on the Identification of Lead 5-HT2A Receptor Agonists for use in Treatment Resistant Depression with Non-hallucinogenic Potential and Low Valvulopathy Liability at the International Festival of Neuroscience BNA 2025.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BPL-003: Mebufotenin benzoate for TRD and AUD (via Strategic Investment in Beckley Psytech)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BPL-003 is an intranasal transmucosal formulation of mebufotenin benzoate designed to fit within the established two-hour interventional psychiatry treatment paradigm.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Beckley Psytech remains on track to report topline results in mid-2025 from the eight-week core phase of the randomized, quadruple-masked, global Phase 2b study of BPL-003 in 196 patients with TRD.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Beckley Psytech also remains on track to report topline data from Part 2 of its Phase 2a study of BPL-003 in combination with selective serotonin reuptake inhibitors (SSRIs) for TRD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Beckley Psytech presented data from Part 1 of its open-label Phase 2a trial in patients with TRD at SOBP 2025.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b/>
          <w:i/>
          <w:color w:val="000000"/>
          <w:sz w:val="20"/>
        </w:rPr>
      </w:pPr>
      <w:r>
        <w:rPr>
          <w:rFonts w:ascii="Times New Roman" w:hAnsi="Times New Roman"/>
          <w:b/>
          <w:i/>
          <w:color w:val="000000"/>
          <w:sz w:val="20"/>
        </w:rPr>
        <w:t>Non-Psychedelic Program &amp; Strategic Investment</w:t>
      </w:r>
    </w:p>
    <w:p>
      <w:pPr>
        <w:pStyle w:val="TextBody"/>
        <w:bidi w:val="0"/>
        <w:spacing w:before="100" w:after="283"/>
        <w:jc w:val="left"/>
        <w:rPr>
          <w:rFonts w:ascii="Times New Roman" w:hAnsi="Times New Roman"/>
          <w:sz w:val="20"/>
        </w:rPr>
      </w:pPr>
      <w:r>
        <w:rPr>
          <w:rFonts w:ascii="Times New Roman" w:hAnsi="Times New Roman"/>
          <w:b/>
          <w:color w:val="000000"/>
          <w:sz w:val="20"/>
        </w:rPr>
        <w:t>RL-007: Pro-cognitive neuromodulator for CIAS (via Strategic Investment in Recognify)</w:t>
      </w:r>
      <w:r>
        <w:rPr>
          <w:rFonts w:ascii="Times New Roman" w:hAnsi="Times New Roman"/>
          <w:color w:val="000000"/>
          <w:sz w:val="20"/>
        </w:rPr>
        <w:t xml:space="preserve">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RL-007 is an orally bioavailable compound that has demonstrated pro-cognitive effects in multiple pre-clinical and clinical studies, including two Phase 1 and two Phase 2 trials.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Recognify Life Sciences remains on track to report topline data in mid-2025 from the Phase 2b proof-of-concept study of RL-007 in 234 patients living with CIAS.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Recognify Life Sciences presented RL-007 preclinical data at SOBP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most significant factors affecting our results of operations include: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develop innovative product candidates through our programs will be the primary factor affecting our future growth. Our approach to the discovery and development of our product candidates is still being demonstrated. As such, we do not know whether we will be able to successfully develop any of our product candidates. Developing novel product candidates requires a significant investment of resources over a prolonged period of time, and a core part of our strategy is to continue making sustained investments in this area. We have chosen to leverage our platform to initially focus on advancing our product candidates in the area of mental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still in development stages, and we have incurred and will continue to incur significant research and development costs for preclinical studies and clinical trials. We expect that our research and development expenses will constitute the most substantial part of our expenses in future periods in line with the advancement and expansion of the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Acquisitions/Investments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continue to grow our business and to aid in the development of our various product candidates, we are strategically acquiring and investing in companies that share our common goal towards advancing transformative treatments, including psychedelic compounds, for patients that suffer from mental health disorders.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11, 2021, we entered into a license and collaboration agreement (the "Otsuka Agreement"), with Otsuka Pharmaceutical Co., LTD ("Otsuka"), under which we granted exclusive rights to Otsuka to develop and commercialize certain products containing arketamine in Japan for the treatment of depression and other select indications. We received an upfront, non-refundable payment of $20.0 million in June 2021 and we are also eligible to receive up to $35.0 million if certain development and regulatory milestones are achieved and up to $66.0 million in commercial milestones upon the achievement of certain commercial sales thresholds. We are eligible to receive tiered royalties ranging from low-teens to high-teens on net sales of licensed products subject to reduction in certain circumstances. In January 2025, Otsuka provided a notice of termination pursuant to the Otsuka Agreement, effective April 24, 2025. We did not recognize any revenue pursuant to the Otsuka Agreement in 2025 and following the effective termination date, we will no longer be eligible to receive any milestone payments or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full service contract development and manufacturing organization, IGX offers services that include pharmaceutical research and development and the manufacturing of pharmaceutical products by leveraging its proprietary drug delivery technologies. IGX recognizes license and research and development revenue from the use of its proprietary drug delivery technologies in its customers'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expect to generate any revenue from the sale of our core psychedelic product candidates or non-psychedelic product candidates unless and until such time that these product candidates have advanced through clinical development and regulatory approval, if ever. We expect that any revenue we generate, if at all, will fluctuate from year-to-year as a result of the timing and amount of payments relating to such services and milestones and the extent to which any of our products are approved and successfully commercialized. Our ability to generate future revenues will also depend on our ability to complete preclinical and clinical development of product candidates or obtain regulatory approval for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not generated any revenues to date from the sale of its core psychedelic product candidates or non-psychedelic product candidates and does not anticipate generating any revenues from the sale of either unless and until it successfully completes development and obtains regulatory approval to market its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above, IGX performs recognizes revenue from the development and manufacturing of novel oral thin film products for the pharmaceutical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which include:</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employee-related expenses, including salaries, related benefits, and stock-based compensation, for employees engaged in research and development functions;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expenses incurred in connection with the preclinical and clinical development of our product candidates, including our agreements with third parties, such as consultants and contract research organizations ("CROs");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expenses incurred under agreements with consultants who supplement our internal capabilities;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cost of laboratory supplies and acquiring, developing, and manufacturing preclinical study materials and clinical trial materials;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costs related to compliance with regulatory requirements;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payments made in connection with third-party licensing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including costs reimbursed under the Otsuka Agreement, are expensed as incurred, with reimbursements of such amounts being recognized as revenue. We account for non-refundable advance payments for goods and services that will be used in future research and development activities as expenses when the service has been performed or when the goods have been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 research and development expenses are tracked on a program-by-program basis for our product candidates and consist primarily of external costs, such as fees paid to outside consultants, CROs, contract manufacturing organizations (“CMOs”) and research laboratories in connection with our preclinical development, process development, manufacturing and clinical development activities. Our direct research and development expenses by program also include fees incurred under third-party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internal research and development expenses consisting of employee and contractor-related costs are not allocated to specific product candidate programs because these costs are deployed across multiple product candidate programs under research and development expense.</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in connection with our planned preclinical and clinical development activities in the near term and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product candidates. This is due to the numerous risks and uncertainties associated with developing products, including the uncertainty of whether (i) any clinical trials will be conducted or progress as planned or completed on schedule, if at all, (ii) we obtain regulatory approval for our product candidates and (iii) we successfully commercialize product candidates.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employee-related expenses, including salaries, related benefits and stock-based compensation, for personnel in our executive, finance, corporate and business development and administrative functions, professional fees for legal, patent, accounting, auditing, tax and consulting services, travel expenses, facility-related expenses, and information technology-related expenses.</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cash balances held in interest-bearing accounts. We expect that our interest income will fluctuate based on the timing and ability to raise additional funds as well as the amount of expenditures for the research and development of our product candidates and ongoing business operations.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Interest expense consists primarily of interest expense incurred in connection with our 2022 Term Loan Facility with Hercules Capital, Inc.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research and development tax credit consists of tax credits received in Australia under the Research and Development Tax Incentive ("RDTI") program and research and development tax credits received in Canada following our acquisition of IGX. Qualifying expenditures include employment costs for research staff, consumables, and relevant, permitted CRO costs incurred as part of research projects.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carries various assets and liabilities at fair value and subsequent remeasurements are recorded as a Change in fair value of assets and liabilities, net as a component of Other income (expense), net. Assets held at fair value include securities held at fair value, investments held at fair value, and convertible notes receivable. Liabilities held at fair value include contingent considerations and convertible promissory notes and derivative liability.</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securities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securities consists of changes in fair value of our available for sale securities for which we have elected the fair value option.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notes receivable - related party,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notes receivable - related party consists of subsequent remeasurements of our convertible notes receivable with IntelGenx, for which we elected the fair value option, prior to the completion of our acquisition of IGX in October 2024.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notes receivable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convertible notes receivable - related party consists of subsequent remeasurements of our convertible notes receivable with IntelGenx, for which we elected the fair value option, prior to the completion of our acquisition of IGX in October 2024.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other investment held at fair value consists of subsequent remeasurements of our investments held at fair value, including COMPASS Pathways plc ("COMPASS") and IntelGenx prior to the completion of our acquisition of IGX in October 2024, for which we have elected the fair value option, as well as additional contingent warrants held with Beckley Psytech.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contingent consideration liability - related party consists of subsequent remeasurements of our contingent consideration liability related to our acquisition of Perception Neuroscience Holdings, Inc. ("Perception") for which we record at fair value.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contingent consideration liabilities consists of subsequent remeasurements of our contingent consideration liabilities related to our acquisition of DemeRx IB, Inc. ("DemeRx IB"), and TryptageniX, Inc. ("TryptageniX") for which we record at fair value.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and derivative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short-term convertible promissory notes and derivative liability consists of subsequent remeasurements of certain convertible notes issued in 2020.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and derivative liability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short-term convertible promissory notes and derivative liability consists of subsequent remeasurements of certain convertible notes issued in 2020 to a related party.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digital assets consists of the subsequent remeasurement of our Bitcoin holding as Bitcoin is measured at fair value based on quoted prices on active exchanges pursuant to ASC 350-60.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exchange gain (loss),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gain (loss), net consists of the impact of changes in foreign currency exchange rates on our foreign exchange denominated assets and liabilities, relative to the U.S. dollar. The impact of foreign currency exchange rates on our results of operations fluctuates period over period based on our foreign currency exposures resulting from changes in applicable exchange rates associated with our foreign denominated assets and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consists principally of the changes in the carrying values of our assets and liabilities and net gains (losses) recognized on the sale of certain of our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from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consolidated entities, deferred income taxes are provided for the effects of temporary differences between the amounts of assets and liabilities recognized for financial reporting purposes and the amounts recognized for income tax purposes. Deferred income taxes reflect the net tax effects of temporary differences between the carrying amounts of assets and liabilities for financial reporting purposes and the amounts used for income tax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assess the need to record a valuation allowance against net deferred tax assets if, based upon the available evidence, it is more likely than not that some or all of the deferred tax assets will not be realized. Accordingly, we maintain a full valuation allowance against net deferred tax assets for all entities as of March 31, 2025. In assessing the realizability on deferred tax assets, we consider whether it is more-likely-than-not that some or all of deferred tax assets will not be realized. The future realization of deferred tax assets is subject to the existence of sufficient taxable income of the appropriate character (e.g., ordinary income or capital gain) as provided under the carryforward provisions of local tax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 the scheduled reversal of deferred tax liabilities (including the effect in available carryback and carryforward periods), future projected taxable income, including the character and jurisdiction of such income, and tax-planning strategies in making this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tax benefits arise when the estimated benefit recorded in the financial statements differs from the amounts taken or expected to be taken in a tax return because of the considerations described above. As of March 31, 2025, we had no additional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Losses from Investments in Equity Method Investees, Net of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Losses from investments in equity method investees, net of tax consists of our share of equity method investees losses on the basis of our equity ownership percentage.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Attributable to 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attributable to noncontrolling interests consists of the portion of net loss that is allocated to the noncontrolling interests of certain consolidated variable interest entities ("VIEs"). Net losses in consolidated VIEs are attributed to noncontrolling interests considering the liquidation preferences of the different classes of equity held by the shareholders in the VIE and their respective interests in the net assets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consolidated VIE in the event of liquidation, and their pro rata ownership. Changes in the amount of net loss attributable to noncontrolling interests are directly impacted by changes in the net loss of our VIEs and our ownership percentage changes.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2025 and 2024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7"/>
        <w:gridCol w:w="146"/>
        <w:gridCol w:w="259"/>
        <w:gridCol w:w="906"/>
        <w:gridCol w:w="203"/>
        <w:gridCol w:w="179"/>
        <w:gridCol w:w="259"/>
        <w:gridCol w:w="906"/>
        <w:gridCol w:w="166"/>
        <w:gridCol w:w="146"/>
        <w:gridCol w:w="211"/>
        <w:gridCol w:w="631"/>
        <w:gridCol w:w="166"/>
        <w:gridCol w:w="146"/>
        <w:gridCol w:w="173"/>
        <w:gridCol w:w="698"/>
        <w:gridCol w:w="763"/>
      </w:tblGrid>
      <w:tr>
        <w:trPr/>
        <w:tc>
          <w:tcPr>
            <w:tcW w:w="4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21,925</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investments in equity method investees,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ATAI Life Sciences N.V.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(26,431</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$0.2 million and no license revenue for the three months ended March 31, 2025 and 2024, respectively. The revenue recognized for the three months ended March 31, 2025 is related to IGX's license agreements with its customers.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Research and Development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$1.4 million and no research and development services revenue for the three months ended March 31, 2025 and 2024, respectively. The revenue recognized for the three months ended March 31, 2025 is related to certain research and development services performed by IGX for its customers.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and discussion below present research and development expenses for the three months ended March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67"/>
        <w:gridCol w:w="146"/>
        <w:gridCol w:w="281"/>
        <w:gridCol w:w="903"/>
        <w:gridCol w:w="194"/>
        <w:gridCol w:w="194"/>
        <w:gridCol w:w="281"/>
        <w:gridCol w:w="903"/>
        <w:gridCol w:w="146"/>
        <w:gridCol w:w="146"/>
        <w:gridCol w:w="211"/>
        <w:gridCol w:w="631"/>
        <w:gridCol w:w="166"/>
        <w:gridCol w:w="146"/>
        <w:gridCol w:w="202"/>
        <w:gridCol w:w="669"/>
        <w:gridCol w:w="719"/>
      </w:tblGrid>
      <w:tr>
        <w:trPr/>
        <w:tc>
          <w:tcPr>
            <w:tcW w:w="4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Core Psychedelic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VLS-01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(Non-Hallucinogenic)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Non-Psychedelic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RL-007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Enabling Technologies and Drug Discovery Platforms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and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$11.3 million for the three months ended March 31, 2025, compared to $11.5 million for the three months ended March 31, 2024. The decrease of $0.2 million was primarily attributable to a $1.2 million decrease in personnel expenses (inclusive of $1.2 million decrease in stock based compensation and $0.1 million increase in restructuring costs), a $0.5 million decrease in professional services costs, and a $0.1 million decrease in costs related to our enabling technologies and drug discovery platform as discussed below. The decrease was partially offset by a $0.9 million increase in other expenses (inclusive of $0.8 million related to the Psilera agreement), a $0.6 million increase in direct costs for our Core Psychedelic Programs, Non-Psychedelic Programs, and Other Programs as discussed below, and a $0.1 million increase in depreciation expense.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Core Psychedelic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VLS-01: DMT for TRD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$0.3 million net increase in direct costs was primarily due to a $1.2 million increase of clinical development costs related to our Elumina trial, the randomized, double-blind, placebo-controlled Phase 2 study of VLS-01, as compared to costs incurred during the three months ended March 31, 2024 for our Phase 1b trial of VLS-01 designed to evaluate the efficacy, safety, tolerability, PK and PD of VLS-01 delivered using our proprietary OTF formulation, as well as $0.2 million of increased manufacturing costs. These increases were partially offset by a $1.1 million decrease in preclinical development costs that were incurred to support our now ongoing Elumina trial.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Discovery (Non-Hallucinogenic)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$0.1 million decrease in discovery costs was primarily due to a $0.1 million decrease of preclinical development costs related to our novel 5-HT2A receptor agonists.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EMP-01: R-MDMA for SAD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$0.3 million increase in direct costs for our EMP-01 program was primarily due to a $0.3 million net increase in clinical development costs relating the start-up of an exploratory, randomized, double-blind, placebo-controlled Phase 2 study in the United Kingdom to assess the safety, tolerability and efficacy of EMP-01.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Non-psychedelic Program</w:t>
      </w:r>
    </w:p>
    <w:p>
      <w:pPr>
        <w:pStyle w:val="TextBody"/>
        <w:bidi w:val="0"/>
        <w:spacing w:before="120" w:after="283"/>
        <w:jc w:val="left"/>
        <w:rPr>
          <w:rFonts w:ascii="Times New Roman" w:hAnsi="Times New Roman"/>
          <w:sz w:val="20"/>
        </w:rPr>
      </w:pPr>
      <w:r>
        <w:rPr>
          <w:rFonts w:ascii="Times New Roman" w:hAnsi="Times New Roman"/>
          <w:b/>
          <w:i/>
          <w:color w:val="000000"/>
          <w:sz w:val="20"/>
        </w:rPr>
        <w:t>RL-007: Pro-Cognitive Neuromodulator for Cognitive Impairment Associated with Schizophrenia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$0.2 million increase in direct costs for our RL-007 program was primarily due to an increase of $0.4 million of clinical development costs relating to our Phase 2b clinical trial for RL-007 in CIAS. This increase was partially offset by a $0.1 million decrease in manufacturing costs and $0.1 million of preclinical development costs.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costs for our other programs remained consistent year-over-year. The costs incurred for the three months ended March 31, 2025 included $0.5 million in costs from IGX, which were offset by a $0.2 million decrease in costs for our PCN-101 program, $0.2 million decrease in our EGX-121 program, and a $0.1 million decrease in IBX-210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Enabling Technologies and Drug Discovery Platforms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$0.1 million decrease in our enabling technologies and drug discovery platforms primarily relates to the wind-down costs of our Invyxis, TryptageniX, InnarisBio, and Psyber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$10.6 million for the three months ended March 31, 2025 compared to $12.6 million for the three months ended March 31, 2024. The $2.0 million decrease was largely attributable to a $1.3 million decrease in personnel and travel related costs (inclusive of $0.8 million decrease in stock-based compensation and a $1.0 million decrease in restructuring costs), $0.2 million decrease in legal and professional service expenses, and a $0.5 million decrease in insurance costs. </w:t>
      </w:r>
    </w:p>
    <w:p>
      <w:pPr>
        <w:pStyle w:val="TextBody"/>
        <w:bidi w:val="0"/>
        <w:spacing w:before="120" w:after="283"/>
        <w:jc w:val="left"/>
        <w:rPr>
          <w:rFonts w:ascii="Times New Roman" w:hAnsi="Times New Roman"/>
          <w:sz w:val="20"/>
        </w:rPr>
      </w:pPr>
      <w:r>
        <w:rPr>
          <w:rFonts w:ascii="Times New Roman" w:hAnsi="Times New Roman"/>
          <w:b/>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for the three months ended March 31, 2025 and 2024 primarily consisted of interest earned on our cash balances during these periods. We recognized interest income of $0.2 million and $0.3 million for the three months ended March 31, 2025 and 2024,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three months ended March 31, 2025 and 2024 primarily consisted of interest expense incurred in connection with our 2022 Term Loan Facility with Hercules Capital, Inc. Interest expense was $0.9 million and $0.7 million for the three months ended March 31, 2025 and 2024,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a research and development tax credit from the Canadian Tax Authorities as an immaterial benefit for the three months ended March 31, 2025. We recognized a research and development tax credit from the Australian Tax Authorities as a benefit of $0.2 million for the three months ended March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assets and liabilities, net: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Securities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securities consists of changes in the fair value of our available for sale securities for which we have elected the fair value option. During the three months ended March 31, 2025 and 2024 we recognized a gain of $0.5 million and $1.3 million, respectively, relating to the change in fair value of securities.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notes receivable - related party,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short-term notes receivable - related party, net, including interest, consists of subsequent remeasurement of our short-term notes receivable with IntelGenx, prior to the completion of our acquisition, for which we have elected the fair value option. During the three months ended March 31, 2025 and 2024 we recognized zero and immaterial losses, respectively, related to the change in the fair value. See Note 7 in the Notes to unaudited Condensed Consolidated Financial Statements in Part I, Item 1 for further information.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notes receivable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convertible notes receivable - related party, including interest, consists of subsequent remeasurement of our convertible notes receivable with IntelGenx, prior to the completion of our acquisition, for which we have elected the fair value option. During the three months ended March 31, 2025 we recognized no change in fair value. During the three months ended March 31, 2024, we recognized a $1.7 million gain related to the change in fair value. See Note 7 in the Notes to unaudited Condensed Consolidated Financial Statements in Part I, Item 1 for further information.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other investments held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fair value of other investments held at fair value consists of subsequent remeasurement of our investments held at fair value, including our American Depository Shares ("ADS") holdings in COMPASS, IntelGenx related investments, prior to the completion of our acquisition, and additional contingent warrants issued by Beckley Psytech. During the three months ended March 31, 2025, we recognized a $6.3 million loss related to our ADS holdings in COMPASS Pathways plc and a $0.5 million gain related to additional contingent warrants issued by Beckley Psytech Limited. For the three months ended March 31, 2024, we recognized a $4.1 million loss related to our ADS holdings in COMPASS Pathways plc and a $1.4 million gain related to our investments in IntelGenx.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Change in fair value of contingent consideration liability—related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milestone and royalty payments in relation to the acquisition of Perception were recorded at the acquisition date, and is subsequently remeasured to fair value. For the three months ended March 31, 2025 and 2024 we recognized an immaterial change in fair value, respectively.</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contingent consideration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acquired shares of the noncontrolling interest of DemeRx IB making DemeRx IB a wholly owned subsidiary. An earn-out of up to $8.0 million was part of the consideration and was recognized at fair value at the transaction date and subsequently remeasured at fair value. For the three months ended March 31, 2025 and 2024 we recognized zero change in fair value and a $0.2 million loss, respectively, related to the DemeRx IB contingent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disposed of our equity interest in TryptageniX, but retained the contingent consideration liability, which is subsequently remeasured to fair value. For the three months ended March 31, 2025 and 2024, we recognized zero change in fair value, respectively, related to the TryptageniX contingent consideration.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certain 2020 convertible noteholders exchanged the 2020 convertible notes issued by ATAI Life Sciences AG for notes issued by ATAI Life Sciences NV, which are convertible into ATAI NV common shares. We determined that this was a modification to the convertible note and record the fair value of the conversion option quarterly. For the three months ended March 31, 2025 and 2024, we recognized a $0.1 million loss and a $1.7 million loss, respectively, due to a change in the fair value of the conversion option of the notes issued by ATAI Life Sciences NV.</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Change in fair value of short-term convertible promissory notes -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certain related party 2020 convertible noteholders exchanged the 2020 convertible notes issued by ATAI Life Sciences AG for notes issued by ATAI Life Sciences NV, which are convertible into ATAI NV common shares. We determined that this was a modification to the convertible note and record the fair value of the conversion option quarterly. For the three months ended March 31, 2025, we recognized an immaterial loss due to a change in the fair value of the conversion option of the notes issued by ATAI Life Sciences NV. We did not recognize any change in fair value for the three months ended March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digital assets consists of the subsequent remeasurement of the Company's Bitcoin holding as Bitcoin is measured at fair value based on quoted prices on active exchanges pursuant to ASC 350-60. For the three months ended March 31, 2025, we recognized a $0.2 million loss related to the change in fair value. We did not recognize any change in fair value for the three months ended March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exchange loss,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gain of $0.5 million related to foreign currency exchange rates for the three months ended March 31, 2025 and a loss of $0.2 million related to foreign currency exchange rate for the three months ended March 31, 2024. This was due to the impact of fluctuations in the foreign currency exchange rate between the Euro and the U.S. dollar on our foreign denominated balances.</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incurred an immaterial amount of other expense for the three months ended March 31, 2025 and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from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incurred $0.2 million of current income tax expense for the three months ended March 31, 2025 compared to an immaterial amount of current income tax benefit for the three months ended March 31, 2024. Our current income tax expense relates to tax expense of subsidiaries in the United States and the United Kingdom.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Losses from Investments in Equity Method Investees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from investment in equity method investees for the three months ended March 31, 2025 and 2024 was zero and $1.7 million, respectively. Loss from investment in equity method investees represents our share of equity method investee losses on the basis of our equity ownership percentages or based on our proportionate share of the respective class of securities in our other investments in the event that the carrying amount of our equity method investments was zero.</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we had net losses attributable to ATAI Life Sciences N.V. shareholders of $26.4 million and $26.7 million, respectively. As of March 31, 2025 and December 31, 2024, our accumulated deficit was $726.6 million and $700.2 million, respectively. We expect to continue to incur losses and operating cash outflows for the foreseeable future until we are able to commercialize any of our product candidates. Our primary sources of liquidity are our cash and cash equivalents, short-term securities, convertible promissory notes, investments, and sales of common shares, as further described below. We maintain cash balances with financial institutions in excess of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requirements for liquidity and capital are clinical trial costs, manufacturing costs, nonclinical and other research and development costs, funding of strategic investments, public company compliance costs and general corporate needs.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product revenue sufficient to achieve profitability will depend substantially on the successful development and eventual commercialization of product candidates. We expect to continue to incur significant expenses and increasing operating losses for at least the next several years. Until such time, if ever, as we can generate substantial product revenues, we expect to finance our cash needs through a combination of equity or debt financings, collaboration arrangements, license agreements, other business development opportunities with third parties and government grants. The Company recognizes revenue from license and research and development arrangements through IGX.</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sz w:val="20"/>
        </w:rPr>
      </w:pPr>
      <w:r>
        <w:rPr>
          <w:rFonts w:ascii="Times New Roman" w:hAnsi="Times New Roman"/>
          <w:i/>
          <w:color w:val="000000"/>
          <w:sz w:val="20"/>
        </w:rPr>
        <w:t>Convertible Promissory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and October 2020, we issued an aggregate principal amount of €1.0 million or $1.2 million (collectively, the “Convertible Notes”). The Convertible Notes are non-interest-bearing and have a maturity date of September 30, 2025, unless previously redeemed, converted, purchased or cancelled. Each note has a face value of €1 and is convertible into one ordinary share of ATAI Life Sciences AG upon the payment of €17.00. The noteholders have agreed that, subsequent to converting the notes into ATAI Life Sciences AG share, they will exchange the ATAI Life Sciences AG share for ATAI Life Science N.V.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and April 2024, respectively, a noteholder and a related party noteholder each entered into an agreement with us to exchange their respective Convertible Notes for new convertible notes issued by ATAI Life Sciences N.V. Each new note has a face value of €1 and is convertible into 16 common shares of ATAI Life Sciences N.V. upon the payment of €17.00. Conversion rights may be exercised by a noteholder at any time prior to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Convertible Notes had a principal balance of $0.4 million. If all convertible notes were converted, the Company would receive proceeds of €6.6 million ($7.1 million).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potential source of non-dilutive funding resides in our investment in COMPASS's ADS, subject to market conditions. Based on quoted market prices, the market value of our ownership in COMPASS was $19.8 million as of March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potential source of non-dilutive funding resides in our investment in digital assets, subject to market conditions. Based on quoted market prices, the market value of our ownership in Bitcoin was $4.8 million as of March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an Open Market Sale Agreement (the “Sales Agreement”) with Jefferies LLC (“Jefferies”), pursuant to which we may issue and sell our common shares, having an aggregate offering price of up to $150.0 million, from time to time through an “at-the-market” equity offering program under which Jefferies will act as sales agent. Subject to the terms and conditions of the Sales Agreement, Jefferies could sell the common shares by any method deemed to be an “at-the-market” offering as defined in Rule 415 promulgated under the Securities Act of 1933, as amended. There have been no sales under the Sales Agreement during the period ended March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entered into an underwriting agreement (the “Underwriting Agreement”) with Berenberg Capital Markets LLC in connection with the issuance and sale by us in a public offering of 26,190,477 of our common shares, at a public offering price of $2.10 per share, less underwriting discounts and commissions. The common shares were offered pursuant to our registration statement on Form S-3 (File No. 333-265970) filed with the SEC on July 1, 2022 and declared effective on July 11, 2022 as well as a prospectus supplement filed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SEC on February 13, 2025. Under the terms of the Underwriting Agreement, we granted to the Underwriter an option exercisable for 30 days to purchase up to an additional 3,928,571 common shares from us at the public offering price, less underwriting discounts and commissions. Pursuant to the Underwriting Agreement, the Underwriter exercised the option to purchase an additional 3,928,571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from the offering of our common shares were approximately $59.2 million, after deducting the underwriting discounts and commissions and offering expenses payable by us.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cash and cash equivalents of $48.3 million, restricted cash of $10.0 million, and short-term securities of $49.9 million. We believe our cash, cash equivalents, and short-term securities will be sufficient to fund our operations for at least the next twelve months following the date of this Quarterly Report on Form 10-Q, and, based on our current operating plan, we currently estimate that our existing cash, cash equivalents, and short-term securities will be sufficient to fund operations into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substantial additional expenditures in the near term to support our ongoing activities. Additionally, we have incurred and expect to continue to incur additional costs as a result of operating as a public company. We expect to continue to incur net losses for the foreseeable future. Our ability to fund our product development and clinical operations as well as commercialization of our product candidates, will depend on the amount and timing of cash received from planned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complete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scope and costs of our preclinical studies, clinical trials and other related activities for our ongoing and planned clinical trials, and potential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any of our product candidates that receive marketing approval, including the costs and timing of establishing product sales, marketing, distribution and manufacturing capabilities, or entering into strategic collaborations with third parties to leverage or access these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sales and other revenues from our product candidates, if approved, including the sales price and the availability of coverage and adequate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purchasing additional equity from certain atai companies upon the achievement of specified development milestone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developing our programs and our ability and willingness to finance their continued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requirements for any future acquisitions or discovery of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respond to technological and market developments, including other products that may compete with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 If we are unable to obtain this funding when needed and on acceptable terms, we could be forced to delay, limit or terminate our product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financings, debt financings, collaborations with other companies and other strategic transactions.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raise additional funds through equity or debt financings or other arrangements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three months ended March 31, 2025 and 2024:</w:t>
      </w:r>
    </w:p>
    <w:p>
      <w:pPr>
        <w:pStyle w:val="TextBody"/>
        <w:bidi w:val="0"/>
        <w:jc w:val="left"/>
        <w:rPr/>
      </w:pPr>
      <w:r>
        <w:rPr/>
        <w:t> </w:t>
      </w:r>
    </w:p>
    <w:tbl>
      <w:tblPr>
        <w:tblW w:w="8529" w:type="dxa"/>
        <w:jc w:val="left"/>
        <w:tblInd w:w="0" w:type="dxa"/>
        <w:tblLayout w:type="fixed"/>
        <w:tblCellMar>
          <w:top w:w="28" w:type="dxa"/>
          <w:left w:w="28" w:type="dxa"/>
          <w:bottom w:w="28" w:type="dxa"/>
          <w:right w:w="28" w:type="dxa"/>
        </w:tblCellMar>
      </w:tblPr>
      <w:tblGrid>
        <w:gridCol w:w="5766"/>
        <w:gridCol w:w="146"/>
        <w:gridCol w:w="211"/>
        <w:gridCol w:w="736"/>
        <w:gridCol w:w="166"/>
        <w:gridCol w:w="146"/>
        <w:gridCol w:w="211"/>
        <w:gridCol w:w="736"/>
        <w:gridCol w:w="4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$17.8 million for the three months ended March 31, 2025, which consisted of a net loss of $26.5 million, adjusted by non-cash charges of $10.4 million and a net cash outflow of $1.7 million related to the change in operating assets and liabilities. The non-cash charges primarily consisted of a $5.9 million loss related to the change in fair value of assets and liabilities, net, $3.4 million related to stock-based compensation, $0.2 million of depreciation and amortization, $0.1 million of non-cash lease expense, and $0.1 million related to amortization of debt discount. These losses were partially offset by a $0.5 million non-cash gain related to unrealized foreign exchange revaluation. The net cash outflows of $1.7 million from the change in operating assets and liabilities were primarily due to a $1.7 million decrease in accrued liabilities and a $0.1 million increase in prepaid expenses and other assets, partially offset by an immaterial increase in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$22.6 million for the three months ended March 31, 2024, which consisted of a net loss of $27.4 million, adjusted by non-cash charges of $9.8 million and a net cash outflow of $5.0 million related to the change in operating assets and liabilities. The non-cash charges primarily consisted of $5.8 million of stock-based compensation, $1.7 million of losses from our equity method investments, $1.8 million loss related to the change in fair value of assets and liabilities, net, $0.2 million of unrealized foreign exchange losses, $0.1 million change in right-of-use asset, $0.1 million in depreciation and amortization expense and $0.1 million amortization of debt discount. The net cash outflows from the change in operating assets and liabilities were primarily due to a $0.7 million decrease in accounts payable and a $4.3 million decrease in accrued liabilities.</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$11.0 million for the three months ended March 31, 2025, primarily driven by $5.0 million of cash paid for securities at fair value, $5.0 million of cash paid for digital assets, $0.8 million of cash paid for Psilera asset acquisition, and $0.3 million of cash paid for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$11.5 million for the three months ended March 31, 2024, primarily driven by $43.9 million of proceeds from the sale and maturities of securities carried at fair value, partially offset by $21.4 million of cash paid for securities at fair value, $10.0 million cash paid for investments, and $1.0 million of cash paid for convertible notes receivable and warrant - related party.</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$59.6 million for the three months ended March 31, 2025, primarily driven by the $59.2 million of net cash proceeds from our February 2025 equity offering and $0.4 million in proceeds from stock option exercises.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provided by financing activities for the three months ended March 31,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2018, we issued an aggregate principal amount of $0.2 million of 2018 Convertible Notes. In October 2020, we issued an additional principal amount of $1.0 million of 2018 and 2020 Convertible Notes. The 2018 and 2020 Convertible Notes are non-interest-bearing and have a maturity date of September 30, 2025, unless previously redeemed, converted, purchased or cancelled. Each note has a face value of €1 and is convertible into one common share of ATAI Life Sciences AG upon the payment of €17.00. Conversion rights may be exercised by a noteholder at any time prior to maturity, except during certain periods subsequent to the consummation of the IPO.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and April 2024, respectively, a noteholder and a related party noteholder each entered into an agreement with us to exchange their respective 2018 and 2020 Convertible Notes for new convertible notes issued by ATAI Life Sciences N.V. Each new note has a face value of €1 and is convertible into 16 common shares of ATAI Life Sciences N.V. upon the payment of €17.00. Conversion rights may be exercised by a noteholder at any time prior to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Convertible Notes had a principal balance of $0.4 million. If all convertible notes were converted, the Company would receive proceeds of €6.6 million ($7.1 million).</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(the “Closing Date”), the Company and certain subsidiaries, as guarantors, and Hercules Capital, Inc., a Maryland corporation (“Hercules”), entered into a Loan and Security Agreement the “Hercules Loan Agreement”. The Hercules Loan Agreement provides for term loans in an aggregate principal amount of up to $175.0 million under multiple tranches (as amended by that certain First Amendment to the Loan and Security Agreement, dated as of March 13, 2023, the "First Amendment”, that Second Amendment to the Loan and Security Agreement, dated as of May 26, 2023, the “Second Amendment,” that Third Amendment to the Loan and Security Agreement, dated August 14, 2024, the “Third Amendment,” and that Fourth Amendment to the Loan and Security Agreement, dated as of January 6, 2025, the "Fourth Amendment," collectively, the “2022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2023, the Company, ATAI Life Sciences AG (“ATAI AG” and together with the Company, the “Borrowers”) and certain subsidiary guarantors of the Company (collectively, the “Subsidiary Guarantors”) entered into the Second Amendment with the several banks and other financial institutions or entities from time to time parties to the Hercules Loan Agreement, defined below, (collectively, the “Lenders”) and Hercules, in its capacity as administrative agent and collateral agent for itself and for the Lenders (the “Agent”) which amended that certain Loan and Security Agreement, dated August 9, 2022 (as amended by the First Amendment, the “Existing Loan Agreement,” and as amended by the Second Amendment, the “Hercules Loan Agreement”) to, among other things, (i) extend the availability of Tranche 1B of $10.0 million, from May 1, 2023, under the Existing Loan Agreement, to November 15, 2024, (ii) extend the availability of Tranche 1C of $15.0 million, from December 15, 2023, under the Existing Loan Agreement, to December 15, 2024, (iii) provide Tranche 1D of $20.0 million, available upon the earlier of (x) the full draw of Tranche 1C and (y) the expiration of Tranche 1C availability, through February 15, 2025, (iv) extend the availability of Tranche 2 of $15.0 million, from June 30, 2024, under the Existing Loan Agreement, subject to certain conditions under the Hercules Loan Agreement, to the earlier of (x) the full draw of Tranche 1D and (y) the expiration of Tranche 1D availability, through March 15, 2025, subject to the Tranche 2 Draw Test, (v) extend the timeline to achieve the second amortization extension condition, from June 30, 2024, in the Existing Loan Agreement, to December 15, 2024, (vi) amend the Tranche 2 Draw Test, satisfaction of which is a condition to draw Tranche 2 under the Hercules Loan Agreement and (vii) extend the financial covenant commencement date, from the later of (x) July 1, 2023, and (y) the date that the outstanding debt under the facility is equal to or greater than $40.0 million, in the Existing Loan Agreement, to the later of (x) May 1, 2024, and (y) the date that the outstanding debt under the facility is equal to or greater than $30.0 million, provided, that the financial covenant is waived if the Company has a market capitalization of at least $550.0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2024 (the “Third Amendment Date”), the Borrowers and certain Subsidiary Guarantors” entered into the Third Amendment with the Lenders and Hercules, in its capacity as the Agent, which amended that certain Loan and Security Agreement, dated August 9, 2022 (as amended by the First Amendment, the Second Amendment and the Third Amendment, the “2022 Term Loan Agreement”) to, among other things, (i) provide Tranche 1B of $5.0 million on the Third Amendment Date, (ii) reduce the remainder of available Tranche 1 to $25.0 million, and extend the availability thereof (x) with respect to Tranche 1C, to be available after the Third Amendment Date until March 31, 2025, and (y) with respect to Tranche 1D, to be available upon the earlier to occur of (1) March 31, 2025 and (2) full borrowing of Tranche 1C, until June 30, 2025, (iii) increase Tranche 2 to $30.0 million, and extend the availability thereof to be available upon the earlier to occur of (1) June 30, 2025, and (2) full borrowing of Tranche 1D, until September 30, 2025, subject to the Tranche 2 Draw Test, (iv) extend the availability of Tranche 3 of $100.0 million, through March 31, 2026, available subject to lender’s investment committee approval, (v) extend the amortization date to September 1, 2025, and extend the timeline to achieve the second amortization extension condition, to June 30, 2025, upon the occurrence of which the amortization date may be extended to March 1, 2026, (vi) amend the financial covenant to commence on October 1, 2024, and require that so long as the Company’s market capitalization is less than $550.0 million, Borrowers shall maintain qualified cash equal to at least 50% of the sum of (x) the amount of outstanding debt under the facility plus (y) Qualified Cash A/P Amount (as defined in the Agreement), or upon the occurrence of certain conditions, 70% of the sum of (x) the amount of outstanding debt under the facility plus (y) Qualified Cash A/P Amount, and (vii) reduce the interest rate to equal the greater of (x) 9.05% or (y) prime rate plus 4.30% (or, upon achieving certain conditions, (y) shall equal prime rate plus 4.05%).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6, 2025 (the “Fourth Amendment Date”), the Borrowers and certain Subsidiary Guarantors entered into the Fourth Amendment with the Lenders and Hercules, in its capacity as the Agent, which amended that certain Loan and Security Agreement, dated August 9, 2022 (as amended by the First Amendment, the Second Amendment, the Third Amendment, and the Fourth Amendment the “2022 Term Loan Agreement”) to, among other things, consent to the conversion of ATAI AG from a German stock corporation (Aktiengesellschaft – AG) into a German limited liability company (Gesellschaft mit beschränkter Haftung – GmbH).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2022 Term Loan Facility will mature on August 1, 2026 (the “Maturity Date”), which may be extended until February 1, 2027 if the Company raises at least $175.0 million of unrestricted new net cash proceeds from certain permitted sources after the Closing Date and prior to June 30, 2025, and satisfies certain other specified conditions (the “Extension Condition Two”). The outstanding principal balance of the 2022 Term Loan Facility bears interest at a floating interest rate per annum equal to the greater of either (i) the prime rate as reported in the Wall Street Journal plus 4.30% and (ii) 9.05%; provided, that if the Extension Condition Two is satisfied, the rate of interest in the foregoing clause (i) is prime rate as reported in The Wall Street Journal plus 4.05%. Accrued interest is payable monthly following the funding of each term loan advance. The Company may make payments of interest only, without any loan amortization payments until September 1, 2025, which date may be extended to March 1, 2026 if Extension Condition Two is achieved. At the end of the interest only period, the Company is required to begin repayment of the outstanding principal of the 2022 Term Loan Facility in equal monthly installments.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2022 Term Loan Agreement contains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at all times commencing from the Closing Date, which includes a cap on the amount of cash that can be held by, among others, certain of our foreign subsidiaries in Australia and the United Kingdom. In addition, the financial covenant under the 2022 Term Loan Agreement requires that beginning on October 1, 2024, the Company shall maintain Qualified Cash in an amount no less than the sum of (1) 50% of the outstanding amount under the 2022 Term Loan Facility, and (2) the amount of the Borrowers’ and Subsidiary Guarantors’ accounts payable that have not been paid within 180 days from the invoice date of the relevant account payable, subject to certain exceptions; provided, upon the occurrence of certain conditions, the Company shall at all times maintain Qualified cash in an amount no less than the sum of (1) 70% of the outstanding amount under the 2022 Term Loan Facility, and (2) the amount of the Borrowers’ and Subsidiary Guarantors’ accounts payable that have not been paid within 180 days from the invoice date of the relevant account payable, subject to certain exceptions; provided, further, that the financial covenant shall not apply on any day that the Company's market capitalization is at least $550.0 million measured on a consecutive 10-business day period immediately prior to such date of measurement and tested on a daily basis. Upon the occurrence of an event of default, including a material adverse effect, subject to certain exceptions, on the Company and ATAI AG’s, taken together, business, operations, properties, assets or financial condition, and subject to any specified cure periods, all amounts owed by the Company may be declared immediately due and payable by the Lenders. As of March 31, 2025, the Company was in compliance with all applicable covenants under the Hercules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is required to make a final payment fee (the “End of Term Charge”) upon the earlier of (i) the Maturity Date, (ii) the date that the Company prepays, in full or in part, the principal balance of the 2022 Term Loan Facility, or (iii) the date that the outstanding balance of the 2022 Term Loan Facility becomes due and payable. The End of Term Charge is 6.95% of the aggregate principal amount of the term loans so repaid or prepaid under the 2022 Term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at its option, prepay the term loans in full or in part, subject to a prepayment penalty equal to (i) 2.00% of the principal amount prepaid if the prepayment occurs on or prior to the first anniversary of the Closing Date, (ii) 1.0% of the principal amount prepaid if the prepayment occurs after the first anniversary and on or prior to the second anniversary of the Closing Date, and (iii) 0.5% of the principal amount prepaid if the prepayment occurs after the second anniversary and prior to the Maturity Date.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 2025, we and Hercules entered into a payoff letter for a voluntary prepayment with respect to the Hercules Loan Agreement (the “Payoff Letter”). Pursuant to the Payoff Letter, on May 2, 2025 (the “Payoff Date”), we paid off the outstanding loan amount of approximately $21.8 million in full in repayment of our outstanding obligations under the Hercules Loan Agreement, and thereby terminated the Hercules Loan Agreement.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Material Cash Requirements from Known Contractual and Other Obligations and Commitments</w:t>
      </w:r>
    </w:p>
    <w:p>
      <w:pPr>
        <w:pStyle w:val="TextBody"/>
        <w:bidi w:val="0"/>
        <w:spacing w:before="7"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commitments and obligations were reported in our Annual Report on Form 10-K for the year ended December 31, 2024, which was filed with the SEC on March 17, 2025. In February 2025, the Company amended its lease agreements to exercise five year renewal options to extend use of lab and office space in Montreal, Canada. The leases will expire in February 2031. The amendment between the Company and the landlord does not entitle the Company to lease additional space.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See Note 2, “Summary of Significant Accounting Policies—Recently Adopted Accounting Pronouncements” to our unaudited condensed consolidated financial statements appearing under Part 1, Item 1 for more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critical accounting policies are described under the heading “Management’s Discussion and Analysis of Financial Condition and Results of Operations – Critical Accounting Policies and Estimates” in our Form 10-K and in Note 2 to our audited consolidated financial statements included in our Form 10-K. As disclosed in Note 2 to our audited consolidated financial statements included in our Form 10-K, the preparation of financial statements in conformity with U.S. GAAP requires management to make estimates and assumptions about future events that affect the amounts reported in the financial statements and accompanying notes. Actual results could differ significantly from those estimates. During the period covered by this Quarterly Report, there were no material changes to our critical accounting policies from those discussed in our Form 10-K other than those disclosed in Note 2 of this Quarterly Report.</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5" w:name="item_7a_market_risk"/>
      <w:bookmarkEnd w:id="15"/>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In addition, our portfolio of notes receivables is exposed to credit risk in the form of non-payment or non-performance. In mitigating our credit risk, we consider multiple factors, including the duration and terms of the note and the nature of and our relationship with the counterparty. The following analysis provides quantitative information regarding these risks.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primary exposure to market risk is interest rate sensitivity, which is affected by changes in the general level of U.S. interest rates. As of March 31, 2025 we had cash and cash equivalents of $48.3 million, restricted cash of $10.0 million, and short-term securities of $49.9 million. We generally hold our cash in interest-bearing demand deposit accounts and short-term securities. Due to the nature of our cash and investment portfolio, a hypothetical 100 basis point change in interest rates would not have a material effect on the fair value of our cash. Our cash is held for working capital purposes. The Company purchases investment grade marketable debt securities which are rated by nationally recognized statistical credit rating organizations in accordance with its investment policy. This policy is designed to minimize the Company's exposure to credit losses and to ensure that the adequate liquidity is maintained at all times to meet anticipated cash flow needs. </w:t>
      </w:r>
    </w:p>
    <w:p>
      <w:pPr>
        <w:pStyle w:val="TextBody"/>
        <w:bidi w:val="0"/>
        <w:jc w:val="left"/>
        <w:rPr>
          <w:rFonts w:ascii="Times New Roman" w:hAnsi="Times New Roman"/>
          <w:color w:val="000000"/>
          <w:sz w:val="20"/>
        </w:rPr>
      </w:pPr>
      <w:r>
        <w:rPr>
          <w:rFonts w:ascii="Times New Roman" w:hAnsi="Times New Roman"/>
          <w:color w:val="000000"/>
          <w:sz w:val="20"/>
        </w:rPr>
        <w:t>As of March 31, 2025, we had $0.4 million in convertible promissory notes, which was comprised of non-interest-bearing borrowings under the 2018 Convertible Notes. Based on the principal amounts of the convertible promissory notes and the interest rate assigned to the convertible promissory notes, a hypothetical 10% change in interest rates would not have a material impact on our convertible promissory notes, financial position 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reporting and functional currency is the U.S. dollar, and the functional currency of our foreign subsidiaries is generally the respective local currency. The assets and liabilities of each of our foreign subsidiaries are translated into U.S. dollars at exchange rates in effect at each balance sheet date. Adjustments resulting from translating foreign functional currency financial statements into U.S. dollars are recorded as a separate component on the unaudited condensed consolidated statements of comprehensive loss. Equity transactions are translated using historical exchange rates. Expenses are translated using the average exchange rate during the previous month. Gains or losses due to transactions in foreign currencies are included in interest and other income, net in our unaudited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exchange rates depends on many factors that we cannot forecast with reliable accuracy. We have experienced and will continue to experience fluctuations in foreign exchange gains and losses related to changes in foreign currency exchange rates. In the event our foreign currency denominated assets, liabilities, revenue, or expenses increase, our results of operations may be more greatly affected by fluctuations in the exchange rates of the currencies in which we do business, resulting in unrealized foreign exchange gains or losses. We have not engaged in the hedging of foreign currency transactions to date, although we may choose to do so in the future. No strategy can completely insulate us from risks associated with such fluctuations and our currency exchange rate risk management activities could expose us to substantial losses if such rates move materially differently from our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hypothetical 10% change in the relative value of the U.S. dollar to other currencies during any of the periods presented would not have had a material effect on our consolidated financial statements, but could result in significant unrealized foreign exchange gains or losses for any given period.</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6" w:name="item_4_controls_and_procedures"/>
      <w:bookmarkEnd w:id="16"/>
      <w:r>
        <w:rPr>
          <w:rFonts w:ascii="Times New Roman" w:hAnsi="Times New Roman"/>
          <w:b/>
          <w:color w:val="000000"/>
          <w:sz w:val="20"/>
        </w:rPr>
        <w:t>Item 4. Controls and P</w:t>
      </w:r>
      <w:bookmarkStart w:id="17" w:name="item_9a_controls_and_procedures"/>
      <w:bookmarkEnd w:id="17"/>
      <w:r>
        <w:rPr>
          <w:rFonts w:ascii="Times New Roman" w:hAnsi="Times New Roman"/>
          <w:b/>
          <w:color w:val="000000"/>
          <w:sz w:val="20"/>
        </w:rPr>
        <w:t>rocedures.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of March 31, 2025, the end of the period covered by this Quarterly Report. Based on this evaluation, our Chief Executive Officer and Chief Financial Officer concluded that our disclosure controls and procedures were effective as of March 31, 2025 at the reasonable assurance level.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that term is defined in Rules 13a-15(f) and 15d-15(f) under the Exchange Act) that occurred during the fiscal quarter ended March 31, 2025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8" w:name="part_ii_other_information"/>
      <w:bookmarkEnd w:id="18"/>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9" w:name="part_2_item_1_legal_proceedings"/>
      <w:bookmarkEnd w:id="19"/>
      <w:r>
        <w:rPr>
          <w:rFonts w:ascii="Times New Roman" w:hAnsi="Times New Roman"/>
          <w:b/>
          <w:color w:val="000000"/>
          <w:sz w:val="20"/>
        </w:rPr>
        <w:t>Item 1. Legal Procee</w:t>
      </w:r>
      <w:bookmarkStart w:id="20" w:name="item_3_legal_proceedings"/>
      <w:bookmarkEnd w:id="20"/>
      <w:r>
        <w:rPr>
          <w:rFonts w:ascii="Times New Roman" w:hAnsi="Times New Roman"/>
          <w:b/>
          <w:color w:val="000000"/>
          <w:sz w:val="20"/>
        </w:rPr>
        <w:t>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party to various claims and legal proceedings arising in the ordinary course of our business. Given that such proceedings are subject to uncertainty, there can be no assurance that such legal proceedings, either individually or in the aggregate, will not have a material adverse effect on our business, results of operations, financial condition or cash flows. See Part I, Item I “Financial Statements (Unaudited) – Note 19, Commitments and Contingencies” in this Quarterly Report, which are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21" w:name="risk_factors"/>
      <w:bookmarkEnd w:id="21"/>
      <w:r>
        <w:rPr>
          <w:rFonts w:ascii="Times New Roman" w:hAnsi="Times New Roman"/>
          <w:b/>
          <w:color w:val="000000"/>
          <w:sz w:val="20"/>
        </w:rPr>
        <w:t>Item lA. Risk Factors.</w:t>
      </w:r>
      <w:r>
        <w:rPr>
          <w:rFonts w:ascii="Times New Roman" w:hAnsi="Times New Roman"/>
          <w:color w:val="000000"/>
          <w:sz w:val="20"/>
        </w:rPr>
        <w:t xml:space="preserve"> </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Investing in our common shares involves a high degree of risk. In addition to the other information set forth in this Quarterly Report and in other documents that we file with the SEC, you should carefully consider the factors described in the section titled "Risk Factors" in our Form 10-K. There have been no material changes to the risk factors described in Part I, Item 1A of our Form 10-K. If any of the risk factors described in the Form 10-K actually materializes, our business, financial condition and results of operations could be materially adversely affected. In such an event, the market price of our common shares could decline and you may lose all or part of your investment. Additional risks that we currently do not know about or that we currently believe to be immaterial may also impair our business. We may disclose changes to such risk factors or disclose additional risk factors from time to time in our future filings with the SEC.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sz w:val="20"/>
        </w:rPr>
      </w:pPr>
      <w:bookmarkStart w:id="22" w:name="part_ii_item_2_sales_of_securities"/>
      <w:bookmarkEnd w:id="22"/>
      <w:r>
        <w:rPr>
          <w:rFonts w:ascii="Times New Roman" w:hAnsi="Times New Roman"/>
          <w:b/>
          <w:color w:val="000000"/>
          <w:sz w:val="20"/>
        </w:rPr>
        <w:t xml:space="preserve">Item 2. Unregistered </w:t>
      </w:r>
      <w:bookmarkStart w:id="23" w:name="unregistered_sales_of_equity_securities"/>
      <w:bookmarkEnd w:id="23"/>
      <w:r>
        <w:rPr>
          <w:rFonts w:ascii="Times New Roman" w:hAnsi="Times New Roman"/>
          <w:b/>
          <w:color w:val="000000"/>
          <w:sz w:val="20"/>
        </w:rPr>
        <w:t>Sales of Equity Securities and Use of Proceeds.</w:t>
      </w:r>
      <w:r>
        <w:rPr>
          <w:rFonts w:ascii="Times New Roman" w:hAnsi="Times New Roman"/>
          <w:color w:val="000000"/>
          <w:sz w:val="20"/>
        </w:rPr>
        <w:t xml:space="preserve"> </w:t>
      </w:r>
    </w:p>
    <w:p>
      <w:pPr>
        <w:pStyle w:val="TextBody"/>
        <w:bidi w:val="0"/>
        <w:spacing w:before="20" w:after="100"/>
        <w:jc w:val="left"/>
        <w:rPr>
          <w:rFonts w:ascii="Times New Roman" w:hAnsi="Times New Roman"/>
          <w:color w:val="000000"/>
          <w:sz w:val="20"/>
        </w:rPr>
      </w:pPr>
      <w:r>
        <w:rPr>
          <w:rFonts w:ascii="Times New Roman" w:hAnsi="Times New Roman"/>
          <w:color w:val="000000"/>
          <w:sz w:val="20"/>
        </w:rPr>
        <w:t>None.</w:t>
      </w:r>
    </w:p>
    <w:p>
      <w:pPr>
        <w:pStyle w:val="TextBody"/>
        <w:bidi w:val="0"/>
        <w:spacing w:before="20" w:after="283"/>
        <w:jc w:val="left"/>
        <w:rPr>
          <w:rFonts w:ascii="Times New Roman" w:hAnsi="Times New Roman"/>
          <w:sz w:val="20"/>
        </w:rPr>
      </w:pPr>
      <w:bookmarkStart w:id="24" w:name="part_ii_item_3_default_senior_securities"/>
      <w:bookmarkEnd w:id="24"/>
      <w:r>
        <w:rPr>
          <w:rFonts w:ascii="Times New Roman" w:hAnsi="Times New Roman"/>
          <w:b/>
          <w:color w:val="000000"/>
          <w:sz w:val="20"/>
        </w:rPr>
        <w:t>Item 3. Defaul</w:t>
      </w:r>
      <w:bookmarkStart w:id="25" w:name="defaults_upon_senior"/>
      <w:bookmarkEnd w:id="25"/>
      <w:r>
        <w:rPr>
          <w:rFonts w:ascii="Times New Roman" w:hAnsi="Times New Roman"/>
          <w:b/>
          <w:color w:val="000000"/>
          <w:sz w:val="20"/>
        </w:rPr>
        <w:t>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6" w:name="part_ii_item_4_mine_safety"/>
      <w:bookmarkEnd w:id="26"/>
      <w:r>
        <w:rPr>
          <w:rFonts w:ascii="Times New Roman" w:hAnsi="Times New Roman"/>
          <w:b/>
          <w:color w:val="000000"/>
          <w:sz w:val="20"/>
        </w:rPr>
        <w:t>Item 4. Mine</w:t>
      </w:r>
      <w:bookmarkStart w:id="27" w:name="mine_safety_disclosures"/>
      <w:bookmarkEnd w:id="27"/>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8" w:name="part_ii_item_5_other_information"/>
      <w:bookmarkEnd w:id="28"/>
      <w:r>
        <w:rPr>
          <w:rFonts w:ascii="Times New Roman" w:hAnsi="Times New Roman"/>
          <w:b/>
          <w:color w:val="000000"/>
          <w:sz w:val="20"/>
        </w:rPr>
        <w:t>Item 5. Oth</w:t>
      </w:r>
      <w:bookmarkStart w:id="29" w:name="item_5_other_information"/>
      <w:bookmarkEnd w:id="29"/>
      <w:r>
        <w:rPr>
          <w:rFonts w:ascii="Times New Roman" w:hAnsi="Times New Roman"/>
          <w:b/>
          <w:color w:val="000000"/>
          <w:sz w:val="20"/>
        </w:rPr>
        <w:t>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in lieu of reporting on a Current Report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both"/>
        <w:rPr/>
      </w:pPr>
      <w:r>
        <w:rPr>
          <w:rFonts w:ascii="Times New Roman" w:hAnsi="Times New Roman"/>
          <w:b/>
          <w:i/>
          <w:color w:val="000000"/>
          <w:sz w:val="20"/>
        </w:rPr>
        <w:t>Material changes to the procedures by which security holders may recommend nominees to the board of directors.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Insider trading arrangements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no director or officer of the Company, as defined in Rule 16a-1(f) of the Exchange Act, adopted or terminated a “Rule 10b5-1 trading arrangement” intended to satisfy the affirmative defense of Rule 10b5-1(c) or a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sz w:val="20"/>
        </w:rPr>
      </w:pPr>
      <w:bookmarkStart w:id="30" w:name="item_6_exhibits"/>
      <w:bookmarkEnd w:id="3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
        <w:gridCol w:w="146"/>
        <w:gridCol w:w="5128"/>
        <w:gridCol w:w="146"/>
        <w:gridCol w:w="517"/>
        <w:gridCol w:w="146"/>
        <w:gridCol w:w="783"/>
        <w:gridCol w:w="146"/>
        <w:gridCol w:w="631"/>
        <w:gridCol w:w="146"/>
        <w:gridCol w:w="574"/>
        <w:gridCol w:w="146"/>
        <w:gridCol w:w="919"/>
      </w:tblGrid>
      <w:tr>
        <w:trPr/>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color w:val="000000"/>
              </w:rPr>
            </w:pPr>
            <w:r>
              <w:rPr>
                <w:color w:val="000000"/>
              </w:rPr>
              <w:t> </w:t>
            </w: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w:t>
              <w:br/>
              <w:t>Herewith</w:t>
            </w:r>
          </w:p>
        </w:tc>
      </w:tr>
      <w:tr>
        <w:trPr/>
        <w:tc>
          <w:tcPr>
            <w:tcW w:w="10205" w:type="dxa"/>
            <w:gridSpan w:val="1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Association of ATAI Life Sciences N.V. (translated into English),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333-265970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7/01/2022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Rules of the Management Board of ATAI Life Sciences N.V.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333- 255383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6/11/2021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Rules of the Supervisory Board of ATAI Life Sciences N.V.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333- 255383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6/11/2021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Employment Agreement, dated January 8, 2025, between atai Life Sciences US, Inc. and Srinivas Rao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10.2</w:t>
            </w:r>
            <w:r>
              <w:rPr>
                <w:rFonts w:ascii="sans-serif" w:hAnsi="sans-serif"/>
                <w:color w:val="000000"/>
                <w:sz w:val="22"/>
              </w:rPr>
              <w:t></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Consent and Fourth Amendment to the Loan and Security Agreement between the Registrant, ATAI Life Sciences AG, certain of the Registrant’s subsidiaries from time to time party thereto as a guarantor, Hercules Capital, Inc., and the several banks and other financial institutions or entities from time to time party thereto, and Hercules Capital, Inc. as administrative agent and collateral agent for itself and the lenders, dated January 6,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3/17/2025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10.3#</w:t>
            </w:r>
            <w:r>
              <w:rPr>
                <w:rFonts w:ascii="sans-serif" w:hAnsi="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Separation Agreement and Release between Sahil Kirpekar and atai Life Sciences US, Inc., dated April 24,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Consulting Agreement between Sahil Kirpekar and atai Life Sciences AG, dated April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001-40493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w:anchor="atai-ex31_1.htm">
              <w:r>
                <w:rPr>
                  <w:rStyle w:val="InternetLink"/>
                  <w:rFonts w:ascii="Times New Roman" w:hAnsi="Times New Roman"/>
                  <w:color w:val="0000FF"/>
                  <w:sz w:val="20"/>
                  <w:u w:val="single"/>
                </w:rPr>
                <w:t>Certification of Principal Executive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w:anchor="atai-ex31_2.htm">
              <w:r>
                <w:rPr>
                  <w:rStyle w:val="InternetLink"/>
                  <w:rFonts w:ascii="Times New Roman" w:hAnsi="Times New Roman"/>
                  <w:color w:val="0000FF"/>
                  <w:sz w:val="20"/>
                  <w:u w:val="single"/>
                </w:rPr>
                <w:t>Certification of Principal Financial Officer pursuant to Exchange Act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w:anchor="atai-ex32_1.htm">
              <w:r>
                <w:rPr>
                  <w:rStyle w:val="InternetLink"/>
                  <w:rFonts w:ascii="Times New Roman" w:hAnsi="Times New Roman"/>
                  <w:color w:val="0000FF"/>
                  <w:sz w:val="20"/>
                  <w:u w:val="single"/>
                </w:rPr>
                <w:t>Certification of Principal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hyperlink w:anchor="atai-ex32_2.htm">
              <w:r>
                <w:rPr>
                  <w:rStyle w:val="InternetLink"/>
                  <w:rFonts w:ascii="Times New Roman" w:hAnsi="Times New Roman"/>
                  <w:color w:val="0000FF"/>
                  <w:sz w:val="20"/>
                  <w:u w:val="single"/>
                </w:rPr>
                <w:t>Certification of Principal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98" w:type="dxa"/>
        <w:jc w:val="left"/>
        <w:tblInd w:w="0" w:type="dxa"/>
        <w:tblLayout w:type="fixed"/>
        <w:tblCellMar>
          <w:top w:w="28" w:type="dxa"/>
          <w:left w:w="28" w:type="dxa"/>
          <w:bottom w:w="28" w:type="dxa"/>
          <w:right w:w="28" w:type="dxa"/>
        </w:tblCellMar>
      </w:tblPr>
      <w:tblGrid>
        <w:gridCol w:w="871"/>
        <w:gridCol w:w="146"/>
        <w:gridCol w:w="7411"/>
        <w:gridCol w:w="146"/>
        <w:gridCol w:w="146"/>
        <w:gridCol w:w="146"/>
        <w:gridCol w:w="146"/>
        <w:gridCol w:w="146"/>
        <w:gridCol w:w="146"/>
        <w:gridCol w:w="146"/>
        <w:gridCol w:w="146"/>
        <w:gridCol w:w="146"/>
        <w:gridCol w:w="25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contract or arrangement.</w:t>
      </w:r>
    </w:p>
    <w:p>
      <w:pPr>
        <w:pStyle w:val="TextBody"/>
        <w:bidi w:val="0"/>
        <w:jc w:val="left"/>
        <w:rPr>
          <w:rFonts w:ascii="Times New Roman" w:hAnsi="Times New Roman"/>
          <w:sz w:val="20"/>
        </w:rPr>
      </w:pPr>
      <w:r>
        <w:rPr>
          <w:rFonts w:ascii="sans-serif" w:hAnsi="sans-serif"/>
          <w:color w:val="000000"/>
          <w:sz w:val="22"/>
        </w:rPr>
        <w:t xml:space="preserve"> </w:t>
      </w:r>
      <w:r>
        <w:rPr>
          <w:rFonts w:ascii="Times New Roman" w:hAnsi="Times New Roman"/>
          <w:color w:val="000000"/>
          <w:sz w:val="20"/>
        </w:rPr>
        <w:t>Certain confidential portions (indicated by brackets and asterisks) have been omitted from this exhibit pursuant to Item 601(b)(10)(iv).</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signatures"/>
      <w:bookmarkEnd w:id="31"/>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7" w:after="283"/>
        <w:jc w:val="left"/>
        <w:rPr/>
      </w:pPr>
      <w:r>
        <w:rPr/>
        <w:t> </w:t>
      </w:r>
    </w:p>
    <w:tbl>
      <w:tblPr>
        <w:tblW w:w="5252" w:type="dxa"/>
        <w:jc w:val="left"/>
        <w:tblInd w:w="0" w:type="dxa"/>
        <w:tblLayout w:type="fixed"/>
        <w:tblCellMar>
          <w:top w:w="28" w:type="dxa"/>
          <w:left w:w="28" w:type="dxa"/>
          <w:bottom w:w="28" w:type="dxa"/>
          <w:right w:w="28" w:type="dxa"/>
        </w:tblCellMar>
      </w:tblPr>
      <w:tblGrid>
        <w:gridCol w:w="1741"/>
        <w:gridCol w:w="146"/>
        <w:gridCol w:w="146"/>
        <w:gridCol w:w="146"/>
        <w:gridCol w:w="406"/>
        <w:gridCol w:w="146"/>
        <w:gridCol w:w="252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ATAI LIFE SCIENCES N.V.</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Srinivas Rao</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Srinivas Rao</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Anne Johnson</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Anne Johnson</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32" w:name="atai-ex31_1.htm"/>
      <w:bookmarkStart w:id="33" w:name="ksataiex31_1"/>
      <w:bookmarkEnd w:id="32"/>
      <w:bookmarkEnd w:id="33"/>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31.1</w:t>
      </w:r>
    </w:p>
    <w:p>
      <w:pPr>
        <w:pStyle w:val="TextBody"/>
        <w:bidi w:val="0"/>
        <w:spacing w:before="2" w:after="283"/>
        <w:jc w:val="left"/>
        <w:rPr/>
      </w:pPr>
      <w:r>
        <w:rPr/>
        <w:t> </w:t>
      </w:r>
    </w:p>
    <w:p>
      <w:pPr>
        <w:pStyle w:val="TextBody"/>
        <w:bidi w:val="0"/>
        <w:spacing w:before="37" w:after="283"/>
        <w:jc w:val="center"/>
        <w:rPr>
          <w:rFonts w:ascii="Times New Roman" w:hAnsi="Times New Roman"/>
          <w:b/>
          <w:color w:val="000000"/>
          <w:sz w:val="18"/>
        </w:rPr>
      </w:pPr>
      <w:r>
        <w:rPr>
          <w:rFonts w:ascii="Times New Roman" w:hAnsi="Times New Roman"/>
          <w:b/>
          <w:color w:val="000000"/>
          <w:sz w:val="18"/>
        </w:rPr>
        <w:t>CERTIFICATION</w:t>
      </w:r>
    </w:p>
    <w:p>
      <w:pPr>
        <w:pStyle w:val="TextBody"/>
        <w:bidi w:val="0"/>
        <w:spacing w:before="17"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Srinivas Rao,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ATAI Life Sciences N.V.;</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10" w:after="283"/>
        <w:jc w:val="left"/>
        <w:rPr/>
      </w:pPr>
      <w:r>
        <w:rPr/>
        <w:t> </w:t>
      </w:r>
    </w:p>
    <w:tbl>
      <w:tblPr>
        <w:tblW w:w="4123" w:type="dxa"/>
        <w:jc w:val="left"/>
        <w:tblInd w:w="0" w:type="dxa"/>
        <w:tblLayout w:type="fixed"/>
        <w:tblCellMar>
          <w:top w:w="28" w:type="dxa"/>
          <w:left w:w="28" w:type="dxa"/>
          <w:bottom w:w="28" w:type="dxa"/>
          <w:right w:w="28" w:type="dxa"/>
        </w:tblCellMar>
      </w:tblPr>
      <w:tblGrid>
        <w:gridCol w:w="1586"/>
        <w:gridCol w:w="361"/>
        <w:gridCol w:w="2176"/>
      </w:tblGrid>
      <w:tr>
        <w:trPr/>
        <w:tc>
          <w:tcPr>
            <w:tcW w:w="15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ind w:left="0" w:right="0" w:firstLine="40"/>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77" w:after="283"/>
              <w:ind w:left="0" w:right="0" w:firstLine="40"/>
              <w:jc w:val="left"/>
              <w:rPr>
                <w:rFonts w:ascii="Times New Roman" w:hAnsi="Times New Roman"/>
                <w:color w:val="000000"/>
                <w:sz w:val="18"/>
              </w:rPr>
            </w:pPr>
            <w:r>
              <w:rPr>
                <w:rFonts w:ascii="Times New Roman" w:hAnsi="Times New Roman"/>
                <w:color w:val="000000"/>
                <w:sz w:val="18"/>
              </w:rPr>
              <w:t>Date: May 14, 2025</w:t>
            </w:r>
          </w:p>
        </w:tc>
        <w:tc>
          <w:tcPr>
            <w:tcW w:w="361" w:type="dxa"/>
            <w:tcBorders/>
            <w:tcMar>
              <w:top w:w="0" w:type="dxa"/>
              <w:left w:w="0" w:type="dxa"/>
              <w:bottom w:w="0" w:type="dxa"/>
              <w:right w:w="0" w:type="dxa"/>
            </w:tcMar>
            <w:vAlign w:val="center"/>
          </w:tcPr>
          <w:p>
            <w:pPr>
              <w:pStyle w:val="TableContents"/>
              <w:bidi w:val="0"/>
              <w:spacing w:before="77" w:after="283"/>
              <w:jc w:val="right"/>
              <w:rPr>
                <w:rFonts w:ascii="Times New Roman" w:hAnsi="Times New Roman"/>
                <w:color w:val="000000"/>
                <w:sz w:val="18"/>
              </w:rPr>
            </w:pPr>
            <w:r>
              <w:rPr>
                <w:rFonts w:ascii="Times New Roman" w:hAnsi="Times New Roman"/>
                <w:color w:val="000000"/>
                <w:sz w:val="18"/>
              </w:rPr>
              <w:t>By:</w:t>
            </w:r>
          </w:p>
        </w:tc>
        <w:tc>
          <w:tcPr>
            <w:tcW w:w="2176" w:type="dxa"/>
            <w:tcBorders>
              <w:bottom w:val="single" w:sz="6" w:space="0" w:color="000000"/>
            </w:tcBorders>
            <w:tcMar>
              <w:top w:w="0" w:type="dxa"/>
              <w:left w:w="0" w:type="dxa"/>
              <w:right w:w="0" w:type="dxa"/>
            </w:tcMar>
            <w:vAlign w:val="center"/>
          </w:tcPr>
          <w:p>
            <w:pPr>
              <w:pStyle w:val="TableContents"/>
              <w:bidi w:val="0"/>
              <w:spacing w:before="77" w:after="283"/>
              <w:jc w:val="center"/>
              <w:rPr>
                <w:rFonts w:ascii="Times New Roman" w:hAnsi="Times New Roman"/>
                <w:color w:val="000000"/>
                <w:sz w:val="18"/>
              </w:rPr>
            </w:pPr>
            <w:r>
              <w:rPr>
                <w:rFonts w:ascii="Times New Roman" w:hAnsi="Times New Roman"/>
                <w:color w:val="000000"/>
                <w:sz w:val="18"/>
              </w:rPr>
              <w:t>/s/ Srinivas Rao</w:t>
            </w:r>
          </w:p>
        </w:tc>
      </w:tr>
      <w:tr>
        <w:trPr/>
        <w:tc>
          <w:tcPr>
            <w:tcW w:w="1586" w:type="dxa"/>
            <w:tcBorders/>
            <w:tcMar>
              <w:top w:w="0" w:type="dxa"/>
              <w:left w:w="0" w:type="dxa"/>
              <w:bottom w:w="0" w:type="dxa"/>
              <w:right w:w="0" w:type="dxa"/>
            </w:tcMar>
            <w:vAlign w:val="center"/>
          </w:tcPr>
          <w:p>
            <w:pPr>
              <w:pStyle w:val="TableContents"/>
              <w:bidi w:val="0"/>
              <w:spacing w:before="0" w:after="200"/>
              <w:jc w:val="left"/>
              <w:rPr/>
            </w:pPr>
            <w:r>
              <w:rPr/>
              <w:t> </w:t>
            </w:r>
          </w:p>
        </w:tc>
        <w:tc>
          <w:tcPr>
            <w:tcW w:w="361" w:type="dxa"/>
            <w:tcBorders/>
            <w:tcMar>
              <w:top w:w="0" w:type="dxa"/>
              <w:left w:w="0" w:type="dxa"/>
              <w:bottom w:w="0" w:type="dxa"/>
              <w:right w:w="0" w:type="dxa"/>
            </w:tcMar>
            <w:vAlign w:val="center"/>
          </w:tcPr>
          <w:p>
            <w:pPr>
              <w:pStyle w:val="TableContents"/>
              <w:bidi w:val="0"/>
              <w:spacing w:before="0" w:after="200"/>
              <w:jc w:val="left"/>
              <w:rPr/>
            </w:pPr>
            <w:r>
              <w:rPr/>
              <w:t> </w:t>
            </w:r>
          </w:p>
        </w:tc>
        <w:tc>
          <w:tcPr>
            <w:tcW w:w="2176" w:type="dxa"/>
            <w:tcBorders/>
            <w:tcMar>
              <w:top w:w="0" w:type="dxa"/>
              <w:left w:w="0" w:type="dxa"/>
              <w:bottom w:w="0" w:type="dxa"/>
              <w:right w:w="0" w:type="dxa"/>
            </w:tcMar>
            <w:vAlign w:val="center"/>
          </w:tcPr>
          <w:p>
            <w:pPr>
              <w:pStyle w:val="TableContents"/>
              <w:bidi w:val="0"/>
              <w:spacing w:before="7" w:after="283"/>
              <w:jc w:val="center"/>
              <w:rPr>
                <w:rFonts w:ascii="Times New Roman" w:hAnsi="Times New Roman"/>
                <w:color w:val="000000"/>
                <w:sz w:val="18"/>
              </w:rPr>
            </w:pPr>
            <w:r>
              <w:rPr>
                <w:rFonts w:ascii="Times New Roman" w:hAnsi="Times New Roman"/>
                <w:color w:val="000000"/>
                <w:sz w:val="18"/>
              </w:rPr>
              <w:t xml:space="preserve">Srinivas Rao </w:t>
            </w:r>
          </w:p>
          <w:p>
            <w:pPr>
              <w:pStyle w:val="TableContents"/>
              <w:bidi w:val="0"/>
              <w:spacing w:before="7" w:after="283"/>
              <w:jc w:val="center"/>
              <w:rPr>
                <w:rFonts w:ascii="Times New Roman" w:hAnsi="Times New Roman"/>
                <w:color w:val="000000"/>
                <w:sz w:val="18"/>
              </w:rPr>
            </w:pPr>
            <w:r>
              <w:rPr>
                <w:rFonts w:ascii="Times New Roman" w:hAnsi="Times New Roman"/>
                <w:color w:val="000000"/>
                <w:sz w:val="18"/>
              </w:rPr>
              <w:t xml:space="preserve">Chief Executive Officer </w:t>
            </w:r>
          </w:p>
          <w:p>
            <w:pPr>
              <w:pStyle w:val="TableContents"/>
              <w:bidi w:val="0"/>
              <w:spacing w:before="7" w:after="283"/>
              <w:jc w:val="center"/>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atai-ex31_2.htm"/>
      <w:bookmarkStart w:id="35" w:name="ksataiex31_2"/>
      <w:bookmarkEnd w:id="34"/>
      <w:bookmarkEnd w:id="35"/>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31.2</w:t>
      </w:r>
    </w:p>
    <w:p>
      <w:pPr>
        <w:pStyle w:val="TextBody"/>
        <w:bidi w:val="0"/>
        <w:spacing w:before="37" w:after="283"/>
        <w:jc w:val="center"/>
        <w:rPr>
          <w:rFonts w:ascii="Times New Roman" w:hAnsi="Times New Roman"/>
          <w:b/>
          <w:color w:val="000000"/>
          <w:sz w:val="18"/>
        </w:rPr>
      </w:pPr>
      <w:r>
        <w:rPr>
          <w:rFonts w:ascii="Times New Roman" w:hAnsi="Times New Roman"/>
          <w:b/>
          <w:color w:val="000000"/>
          <w:sz w:val="18"/>
        </w:rPr>
        <w:t>CERTIFICATION</w:t>
      </w:r>
    </w:p>
    <w:p>
      <w:pPr>
        <w:pStyle w:val="TextBody"/>
        <w:bidi w:val="0"/>
        <w:jc w:val="left"/>
        <w:rPr>
          <w:rFonts w:ascii="Times New Roman" w:hAnsi="Times New Roman"/>
          <w:color w:val="000000"/>
          <w:sz w:val="18"/>
        </w:rPr>
      </w:pPr>
      <w:r>
        <w:rPr>
          <w:rFonts w:ascii="Times New Roman" w:hAnsi="Times New Roman"/>
          <w:color w:val="000000"/>
          <w:sz w:val="18"/>
        </w:rPr>
        <w:t>I, Anne Johnson,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ATAI Life Sciences N.V.;</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tbl>
      <w:tblPr>
        <w:tblW w:w="4098" w:type="dxa"/>
        <w:jc w:val="left"/>
        <w:tblInd w:w="0" w:type="dxa"/>
        <w:tblLayout w:type="fixed"/>
        <w:tblCellMar>
          <w:top w:w="28" w:type="dxa"/>
          <w:left w:w="28" w:type="dxa"/>
          <w:bottom w:w="28" w:type="dxa"/>
          <w:right w:w="28" w:type="dxa"/>
        </w:tblCellMar>
      </w:tblPr>
      <w:tblGrid>
        <w:gridCol w:w="1546"/>
        <w:gridCol w:w="361"/>
        <w:gridCol w:w="2191"/>
      </w:tblGrid>
      <w:tr>
        <w:trPr/>
        <w:tc>
          <w:tcPr>
            <w:tcW w:w="15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14, 2025</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Anne Johnson</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Anne Johnson</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atai-ex32_1.htm"/>
      <w:bookmarkStart w:id="37" w:name="ksataiex32_1"/>
      <w:bookmarkEnd w:id="36"/>
      <w:bookmarkEnd w:id="37"/>
      <w:r>
        <w:rPr/>
        <w:t> </w:t>
      </w:r>
      <w:r>
        <w:br w:type="page"/>
      </w:r>
    </w:p>
    <w:p>
      <w:pPr>
        <w:pStyle w:val="TextBody"/>
        <w:bidi w:val="0"/>
        <w:spacing w:before="84" w:after="283"/>
        <w:jc w:val="right"/>
        <w:rPr>
          <w:rFonts w:ascii="Times New Roman" w:hAnsi="Times New Roman"/>
          <w:b/>
          <w:color w:val="000000"/>
          <w:sz w:val="18"/>
        </w:rPr>
      </w:pPr>
      <w:r>
        <w:rPr>
          <w:rFonts w:ascii="Times New Roman" w:hAnsi="Times New Roman"/>
          <w:b/>
          <w:color w:val="000000"/>
          <w:sz w:val="18"/>
        </w:rPr>
        <w:t>Exhibit 32.1</w:t>
      </w:r>
    </w:p>
    <w:p>
      <w:pPr>
        <w:pStyle w:val="TextBody"/>
        <w:bidi w:val="0"/>
        <w:spacing w:before="2"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on Form 10-Q of ATAI Life Sciences N.V. (the “Company”) for the period ended March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083" w:type="dxa"/>
        <w:jc w:val="left"/>
        <w:tblInd w:w="0" w:type="dxa"/>
        <w:tblLayout w:type="fixed"/>
        <w:tblCellMar>
          <w:top w:w="28" w:type="dxa"/>
          <w:left w:w="28" w:type="dxa"/>
          <w:bottom w:w="28" w:type="dxa"/>
          <w:right w:w="28" w:type="dxa"/>
        </w:tblCellMar>
      </w:tblPr>
      <w:tblGrid>
        <w:gridCol w:w="1546"/>
        <w:gridCol w:w="361"/>
        <w:gridCol w:w="2176"/>
      </w:tblGrid>
      <w:tr>
        <w:trPr/>
        <w:tc>
          <w:tcPr>
            <w:tcW w:w="15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14, 2025</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Srinivas Rao</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Srinivas Rao</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Executive Officer</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Executive Officer)</w:t>
            </w:r>
          </w:p>
        </w:tc>
      </w:tr>
    </w:tbl>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atai-ex32_2.htm"/>
      <w:bookmarkStart w:id="39" w:name="ksataiex32_2"/>
      <w:bookmarkEnd w:id="38"/>
      <w:bookmarkEnd w:id="39"/>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br/>
        <w:t>SECTION 906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connection with the Quarterly Report on Form 10-Q of ATAI Life Sciences N.V. (the “Company”) for the period ended March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spacing w:before="8" w:after="283"/>
        <w:jc w:val="left"/>
        <w:rPr/>
      </w:pPr>
      <w:r>
        <w:rPr/>
        <w:t> </w:t>
      </w:r>
    </w:p>
    <w:tbl>
      <w:tblPr>
        <w:tblW w:w="4098" w:type="dxa"/>
        <w:jc w:val="left"/>
        <w:tblInd w:w="0" w:type="dxa"/>
        <w:tblLayout w:type="fixed"/>
        <w:tblCellMar>
          <w:top w:w="28" w:type="dxa"/>
          <w:left w:w="28" w:type="dxa"/>
          <w:bottom w:w="28" w:type="dxa"/>
          <w:right w:w="28" w:type="dxa"/>
        </w:tblCellMar>
      </w:tblPr>
      <w:tblGrid>
        <w:gridCol w:w="1546"/>
        <w:gridCol w:w="361"/>
        <w:gridCol w:w="2191"/>
      </w:tblGrid>
      <w:tr>
        <w:trPr/>
        <w:tc>
          <w:tcPr>
            <w:tcW w:w="15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May 14, 2025</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Anne Johnson</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Anne Johnson </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40904/000119312522187179/d371486dex31.htm" TargetMode="External"/><Relationship Id="rId4" Type="http://schemas.openxmlformats.org/officeDocument/2006/relationships/hyperlink" Target="https://www.sec.gov/Archives/edgar/data/0001840904/000119312521188243/d39052dex32.htm" TargetMode="External"/><Relationship Id="rId5" Type="http://schemas.openxmlformats.org/officeDocument/2006/relationships/hyperlink" Target="https://www.sec.gov/Archives/edgar/data/0001840904/000119312521188243/d39052dex33.htm" TargetMode="External"/><Relationship Id="rId6" Type="http://schemas.openxmlformats.org/officeDocument/2006/relationships/hyperlink" Target="https://www.sec.gov/Archives/edgar/data/1840904/000114036125000708/ef20040004_ex10-1.htm" TargetMode="External"/><Relationship Id="rId7" Type="http://schemas.openxmlformats.org/officeDocument/2006/relationships/hyperlink" Target="https://www.sec.gov/Archives/edgar/data/1840904/000095017025040244/atai-ex10_28.htm" TargetMode="External"/><Relationship Id="rId8" Type="http://schemas.openxmlformats.org/officeDocument/2006/relationships/hyperlink" Target="https://www.sec.gov/Archives/edgar/data/1840904/000114036125016660/ef20048125_ex10-1.htm" TargetMode="External"/><Relationship Id="rId9" Type="http://schemas.openxmlformats.org/officeDocument/2006/relationships/hyperlink" Target="https://www.sec.gov/Archives/edgar/data/1840904/000114036125016660/ef20048125_ex1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38687</Words>
  <Characters>214486</Characters>
  <CharactersWithSpaces>254337</CharactersWithSpaces>
  <Paragraphs>7295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