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ai-20260630.htm"/>
      <w:bookmarkStart w:id="1" w:name="ksatai20260630"/>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spacing w:before="0" w:after="60"/>
        <w:jc w:val="center"/>
        <w:rPr>
          <w:rFonts w:ascii="Times New Roman" w:hAnsi="Times New Roman"/>
          <w:sz w:val="20"/>
        </w:rPr>
      </w:pPr>
      <w:r>
        <w:rPr>
          <w:rFonts w:ascii="Times New Roman" w:hAnsi="Times New Roman"/>
          <w:b/>
          <w:color w:val="000000"/>
          <w:sz w:val="18"/>
        </w:rPr>
        <w:t>For the quarterly period ended June 30, 2026</w:t>
      </w:r>
      <w:r>
        <w:rPr>
          <w:rFonts w:ascii="Times New Roman" w:hAnsi="Times New Roman"/>
          <w:color w:val="000000"/>
          <w:sz w:val="20"/>
        </w:rPr>
        <w:t xml:space="preserve"> </w:t>
      </w: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__________ to __________</w:t>
      </w:r>
    </w:p>
    <w:p>
      <w:pPr>
        <w:pStyle w:val="TextBody"/>
        <w:bidi w:val="0"/>
        <w:jc w:val="left"/>
        <w:rPr/>
      </w:pPr>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001-43037</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AtaiBeckley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top w:val="single" w:sz="6" w:space="1" w:color="000000"/>
        </w:pBdr>
        <w:bidi w:val="0"/>
        <w:spacing w:before="80" w:after="283"/>
        <w:jc w:val="center"/>
        <w:rPr/>
      </w:pPr>
      <w:r>
        <w:rPr/>
        <w:t> </w:t>
      </w:r>
    </w:p>
    <w:tbl>
      <w:tblPr>
        <w:tblW w:w="4521" w:type="dxa"/>
        <w:jc w:val="left"/>
        <w:tblInd w:w="0" w:type="dxa"/>
        <w:tblLayout w:type="fixed"/>
        <w:tblCellMar>
          <w:top w:w="28" w:type="dxa"/>
          <w:left w:w="28" w:type="dxa"/>
          <w:bottom w:w="28" w:type="dxa"/>
          <w:right w:w="28" w:type="dxa"/>
        </w:tblCellMar>
      </w:tblPr>
      <w:tblGrid>
        <w:gridCol w:w="2926"/>
        <w:gridCol w:w="109"/>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41-3357923</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 atai Life Sciences US, Inc.</w:t>
            </w:r>
          </w:p>
          <w:p>
            <w:pPr>
              <w:pStyle w:val="TableContents"/>
              <w:bidi w:val="0"/>
              <w:jc w:val="center"/>
              <w:rPr>
                <w:rFonts w:ascii="Times New Roman" w:hAnsi="Times New Roman"/>
                <w:b/>
                <w:color w:val="000000"/>
                <w:sz w:val="20"/>
              </w:rPr>
            </w:pPr>
            <w:r>
              <w:rPr>
                <w:rFonts w:ascii="Times New Roman" w:hAnsi="Times New Roman"/>
                <w:b/>
                <w:color w:val="000000"/>
                <w:sz w:val="20"/>
              </w:rPr>
              <w:t>c/o Industrious NYC</w:t>
            </w:r>
          </w:p>
          <w:p>
            <w:pPr>
              <w:pStyle w:val="TableContents"/>
              <w:bidi w:val="0"/>
              <w:jc w:val="center"/>
              <w:rPr>
                <w:rFonts w:ascii="Times New Roman" w:hAnsi="Times New Roman"/>
                <w:b/>
                <w:color w:val="000000"/>
                <w:sz w:val="20"/>
              </w:rPr>
            </w:pPr>
            <w:r>
              <w:rPr>
                <w:rFonts w:ascii="Times New Roman" w:hAnsi="Times New Roman"/>
                <w:b/>
                <w:color w:val="000000"/>
                <w:sz w:val="20"/>
              </w:rPr>
              <w:t>250 West 34th Street</w:t>
            </w:r>
          </w:p>
          <w:p>
            <w:pPr>
              <w:pStyle w:val="TableContents"/>
              <w:bidi w:val="0"/>
              <w:spacing w:before="0" w:after="283"/>
              <w:jc w:val="center"/>
              <w:rPr>
                <w:rFonts w:ascii="Times New Roman" w:hAnsi="Times New Roman"/>
                <w:sz w:val="20"/>
              </w:rPr>
            </w:pPr>
            <w:r>
              <w:rPr>
                <w:rFonts w:ascii="Times New Roman" w:hAnsi="Times New Roman"/>
                <w:b/>
                <w:color w:val="000000"/>
                <w:sz w:val="20"/>
              </w:rPr>
              <w:t>New York, New York</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10119</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(332) 282-0507</w:t>
      </w:r>
    </w:p>
    <w:p>
      <w:pPr>
        <w:pStyle w:val="TextBody"/>
        <w:bidi w:val="0"/>
        <w:spacing w:before="5" w:after="283"/>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5" w:after="283"/>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7466" w:type="dxa"/>
        <w:jc w:val="left"/>
        <w:tblInd w:w="0" w:type="dxa"/>
        <w:tblLayout w:type="fixed"/>
        <w:tblCellMar>
          <w:top w:w="28" w:type="dxa"/>
          <w:left w:w="28" w:type="dxa"/>
          <w:bottom w:w="28" w:type="dxa"/>
          <w:right w:w="28" w:type="dxa"/>
        </w:tblCellMar>
      </w:tblPr>
      <w:tblGrid>
        <w:gridCol w:w="3631"/>
        <w:gridCol w:w="109"/>
        <w:gridCol w:w="826"/>
        <w:gridCol w:w="109"/>
        <w:gridCol w:w="2791"/>
      </w:tblGrid>
      <w:tr>
        <w:trPr/>
        <w:tc>
          <w:tcPr>
            <w:tcW w:w="3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ATAI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br/>
              <w:t>(Nasdaq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8070" w:type="dxa"/>
        <w:jc w:val="left"/>
        <w:tblInd w:w="0" w:type="dxa"/>
        <w:tblLayout w:type="fixed"/>
        <w:tblCellMar>
          <w:top w:w="28" w:type="dxa"/>
          <w:left w:w="28" w:type="dxa"/>
          <w:bottom w:w="28" w:type="dxa"/>
          <w:right w:w="28" w:type="dxa"/>
        </w:tblCellMar>
      </w:tblPr>
      <w:tblGrid>
        <w:gridCol w:w="1848"/>
        <w:gridCol w:w="3476"/>
        <w:gridCol w:w="2213"/>
        <w:gridCol w:w="533"/>
      </w:tblGrid>
      <w:tr>
        <w:trPr/>
        <w:tc>
          <w:tcPr>
            <w:tcW w:w="1848" w:type="dxa"/>
            <w:tcBorders/>
            <w:vAlign w:val="center"/>
          </w:tcPr>
          <w:p>
            <w:pPr>
              <w:pStyle w:val="TableContents"/>
              <w:bidi w:val="0"/>
              <w:spacing w:before="0" w:after="283"/>
              <w:jc w:val="left"/>
              <w:rPr>
                <w:sz w:val="4"/>
                <w:szCs w:val="4"/>
              </w:rPr>
            </w:pPr>
            <w:r>
              <w:rPr>
                <w:sz w:val="4"/>
                <w:szCs w:val="4"/>
              </w:rPr>
            </w:r>
          </w:p>
        </w:tc>
        <w:tc>
          <w:tcPr>
            <w:tcW w:w="3476"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ind w:left="0" w:right="0" w:firstLine="40"/>
              <w:jc w:val="left"/>
              <w:rPr>
                <w:sz w:val="4"/>
                <w:szCs w:val="4"/>
              </w:rPr>
            </w:pPr>
            <w:r>
              <w:rPr>
                <w:sz w:val="4"/>
                <w:szCs w:val="4"/>
              </w:rPr>
            </w:r>
          </w:p>
        </w:tc>
      </w:tr>
      <w:tr>
        <w:trPr/>
        <w:tc>
          <w:tcPr>
            <w:tcW w:w="1848" w:type="dxa"/>
            <w:tcBorders/>
            <w:tcMar>
              <w:top w:w="0" w:type="dxa"/>
              <w:left w:w="0" w:type="dxa"/>
              <w:bottom w:w="0" w:type="dxa"/>
              <w:right w:w="0" w:type="dxa"/>
            </w:tcMar>
            <w:vAlign w:val="center"/>
          </w:tcPr>
          <w:p>
            <w:pPr>
              <w:pStyle w:val="TableContents"/>
              <w:bidi w:val="0"/>
              <w:spacing w:before="0" w:after="283"/>
              <w:ind w:left="0" w:right="0" w:firstLine="182"/>
              <w:jc w:val="left"/>
              <w:rPr>
                <w:rFonts w:ascii="Times New Roman" w:hAnsi="Times New Roman"/>
                <w:color w:val="000000"/>
                <w:sz w:val="18"/>
              </w:rPr>
            </w:pPr>
            <w:r>
              <w:rPr>
                <w:rFonts w:ascii="Times New Roman" w:hAnsi="Times New Roman"/>
                <w:color w:val="000000"/>
                <w:sz w:val="18"/>
              </w:rPr>
              <w:t>Large accelerated filer</w:t>
            </w:r>
          </w:p>
        </w:tc>
        <w:tc>
          <w:tcPr>
            <w:tcW w:w="3476" w:type="dxa"/>
            <w:tcBorders/>
            <w:tcMar>
              <w:top w:w="0" w:type="dxa"/>
              <w:left w:w="0" w:type="dxa"/>
              <w:bottom w:w="0" w:type="dxa"/>
              <w:right w:w="0" w:type="dxa"/>
            </w:tcMar>
            <w:vAlign w:val="center"/>
          </w:tcPr>
          <w:p>
            <w:pPr>
              <w:pStyle w:val="TableContents"/>
              <w:bidi w:val="0"/>
              <w:spacing w:before="0" w:after="283"/>
              <w:ind w:left="0" w:right="0" w:firstLine="3160"/>
              <w:jc w:val="left"/>
              <w:rPr>
                <w:color w:val="000000"/>
              </w:rPr>
            </w:pPr>
            <w:r>
              <w:rPr>
                <w:color w:val="000000"/>
              </w:rPr>
              <w:t>☐</w:t>
            </w:r>
          </w:p>
        </w:tc>
        <w:tc>
          <w:tcPr>
            <w:tcW w:w="2213" w:type="dxa"/>
            <w:tcBorders/>
            <w:tcMar>
              <w:top w:w="0" w:type="dxa"/>
              <w:left w:w="0" w:type="dxa"/>
              <w:bottom w:w="0" w:type="dxa"/>
              <w:right w:w="0" w:type="dxa"/>
            </w:tcMar>
            <w:vAlign w:val="center"/>
          </w:tcPr>
          <w:p>
            <w:pPr>
              <w:pStyle w:val="TableContents"/>
              <w:bidi w:val="0"/>
              <w:spacing w:before="0" w:after="283"/>
              <w:ind w:left="0" w:right="0" w:firstLine="172"/>
              <w:jc w:val="left"/>
              <w:rPr>
                <w:rFonts w:ascii="Times New Roman" w:hAnsi="Times New Roman"/>
                <w:color w:val="000000"/>
                <w:sz w:val="18"/>
              </w:rPr>
            </w:pPr>
            <w:r>
              <w:rPr>
                <w:rFonts w:ascii="Times New Roman" w:hAnsi="Times New Roman"/>
                <w:color w:val="000000"/>
                <w:sz w:val="18"/>
              </w:rPr>
              <w:t>Accelerated filer</w:t>
            </w:r>
          </w:p>
        </w:tc>
        <w:tc>
          <w:tcPr>
            <w:tcW w:w="533" w:type="dxa"/>
            <w:tcBorders/>
            <w:tcMar>
              <w:top w:w="0" w:type="dxa"/>
              <w:left w:w="0" w:type="dxa"/>
              <w:bottom w:w="0" w:type="dxa"/>
              <w:right w:w="0" w:type="dxa"/>
            </w:tcMar>
            <w:vAlign w:val="center"/>
          </w:tcPr>
          <w:p>
            <w:pPr>
              <w:pStyle w:val="TableContents"/>
              <w:bidi w:val="0"/>
              <w:spacing w:before="0" w:after="283"/>
              <w:ind w:left="0" w:right="0" w:firstLine="40"/>
              <w:jc w:val="left"/>
              <w:rPr>
                <w:color w:val="000000"/>
              </w:rPr>
            </w:pPr>
            <w:r>
              <w:rPr>
                <w:color w:val="000000"/>
              </w:rPr>
              <w:t>☐</w:t>
            </w:r>
          </w:p>
        </w:tc>
      </w:tr>
      <w:tr>
        <w:trPr/>
        <w:tc>
          <w:tcPr>
            <w:tcW w:w="1848" w:type="dxa"/>
            <w:tcBorders/>
            <w:tcMar>
              <w:top w:w="0" w:type="dxa"/>
              <w:left w:w="0" w:type="dxa"/>
              <w:bottom w:w="0" w:type="dxa"/>
              <w:right w:w="0" w:type="dxa"/>
            </w:tcMar>
            <w:vAlign w:val="center"/>
          </w:tcPr>
          <w:p>
            <w:pPr>
              <w:pStyle w:val="TableContents"/>
              <w:bidi w:val="0"/>
              <w:spacing w:before="60" w:after="283"/>
              <w:ind w:left="0" w:right="0" w:firstLine="182"/>
              <w:jc w:val="left"/>
              <w:rPr>
                <w:rFonts w:ascii="Times New Roman" w:hAnsi="Times New Roman"/>
                <w:color w:val="000000"/>
                <w:sz w:val="18"/>
              </w:rPr>
            </w:pPr>
            <w:r>
              <w:rPr>
                <w:rFonts w:ascii="Times New Roman" w:hAnsi="Times New Roman"/>
                <w:color w:val="000000"/>
                <w:sz w:val="18"/>
              </w:rPr>
              <w:t>Non-accelerated filer</w:t>
            </w:r>
          </w:p>
        </w:tc>
        <w:tc>
          <w:tcPr>
            <w:tcW w:w="3476" w:type="dxa"/>
            <w:tcBorders/>
            <w:tcMar>
              <w:top w:w="0" w:type="dxa"/>
              <w:left w:w="0" w:type="dxa"/>
              <w:bottom w:w="0" w:type="dxa"/>
              <w:right w:w="0" w:type="dxa"/>
            </w:tcMar>
            <w:vAlign w:val="center"/>
          </w:tcPr>
          <w:p>
            <w:pPr>
              <w:pStyle w:val="TableContents"/>
              <w:bidi w:val="0"/>
              <w:spacing w:before="60" w:after="283"/>
              <w:ind w:left="0" w:right="0" w:firstLine="3160"/>
              <w:jc w:val="left"/>
              <w:rPr>
                <w:color w:val="000000"/>
              </w:rPr>
            </w:pPr>
            <w:r>
              <w:rPr>
                <w:color w:val="000000"/>
              </w:rPr>
              <w:t>☒</w:t>
            </w:r>
          </w:p>
        </w:tc>
        <w:tc>
          <w:tcPr>
            <w:tcW w:w="2213" w:type="dxa"/>
            <w:tcBorders/>
            <w:tcMar>
              <w:top w:w="0" w:type="dxa"/>
              <w:left w:w="0" w:type="dxa"/>
              <w:bottom w:w="0" w:type="dxa"/>
              <w:right w:w="0" w:type="dxa"/>
            </w:tcMar>
            <w:vAlign w:val="center"/>
          </w:tcPr>
          <w:p>
            <w:pPr>
              <w:pStyle w:val="TableContents"/>
              <w:bidi w:val="0"/>
              <w:spacing w:before="60" w:after="283"/>
              <w:ind w:left="0" w:right="0" w:firstLine="172"/>
              <w:jc w:val="left"/>
              <w:rPr>
                <w:rFonts w:ascii="Times New Roman" w:hAnsi="Times New Roman"/>
                <w:color w:val="000000"/>
                <w:sz w:val="18"/>
              </w:rPr>
            </w:pPr>
            <w:r>
              <w:rPr>
                <w:rFonts w:ascii="Times New Roman" w:hAnsi="Times New Roman"/>
                <w:color w:val="000000"/>
                <w:sz w:val="18"/>
              </w:rPr>
              <w:t>Smaller reporting company</w:t>
            </w:r>
          </w:p>
        </w:tc>
        <w:tc>
          <w:tcPr>
            <w:tcW w:w="533" w:type="dxa"/>
            <w:tcBorders/>
            <w:tcMar>
              <w:top w:w="0" w:type="dxa"/>
              <w:left w:w="0" w:type="dxa"/>
              <w:bottom w:w="0" w:type="dxa"/>
              <w:right w:w="0" w:type="dxa"/>
            </w:tcMar>
            <w:vAlign w:val="center"/>
          </w:tcPr>
          <w:p>
            <w:pPr>
              <w:pStyle w:val="TableContents"/>
              <w:bidi w:val="0"/>
              <w:spacing w:before="60" w:after="283"/>
              <w:ind w:left="0" w:right="0" w:firstLine="172"/>
              <w:jc w:val="left"/>
              <w:rPr>
                <w:color w:val="000000"/>
              </w:rPr>
            </w:pPr>
            <w:r>
              <w:rPr>
                <w:color w:val="000000"/>
              </w:rPr>
              <w:t>☒</w:t>
            </w:r>
          </w:p>
        </w:tc>
      </w:tr>
      <w:tr>
        <w:trPr/>
        <w:tc>
          <w:tcPr>
            <w:tcW w:w="1848" w:type="dxa"/>
            <w:tcBorders/>
            <w:tcMar>
              <w:top w:w="0" w:type="dxa"/>
              <w:left w:w="0" w:type="dxa"/>
              <w:bottom w:w="0" w:type="dxa"/>
              <w:right w:w="0" w:type="dxa"/>
            </w:tcMar>
            <w:vAlign w:val="center"/>
          </w:tcPr>
          <w:p>
            <w:pPr>
              <w:pStyle w:val="TableContents"/>
              <w:bidi w:val="0"/>
              <w:spacing w:before="60" w:after="283"/>
              <w:jc w:val="left"/>
              <w:rPr/>
            </w:pPr>
            <w:r>
              <w:rPr/>
              <w:t> </w:t>
            </w:r>
          </w:p>
        </w:tc>
        <w:tc>
          <w:tcPr>
            <w:tcW w:w="3476" w:type="dxa"/>
            <w:tcBorders/>
            <w:tcMar>
              <w:top w:w="0" w:type="dxa"/>
              <w:left w:w="0" w:type="dxa"/>
              <w:bottom w:w="0" w:type="dxa"/>
              <w:right w:w="0" w:type="dxa"/>
            </w:tcMar>
            <w:vAlign w:val="center"/>
          </w:tcPr>
          <w:p>
            <w:pPr>
              <w:pStyle w:val="TableContents"/>
              <w:bidi w:val="0"/>
              <w:spacing w:before="60" w:after="283"/>
              <w:ind w:left="0" w:right="0" w:firstLine="3154"/>
              <w:jc w:val="left"/>
              <w:rPr/>
            </w:pPr>
            <w:r>
              <w:rPr/>
              <w:t> </w:t>
            </w:r>
          </w:p>
        </w:tc>
        <w:tc>
          <w:tcPr>
            <w:tcW w:w="2213" w:type="dxa"/>
            <w:tcBorders/>
            <w:tcMar>
              <w:top w:w="0" w:type="dxa"/>
              <w:left w:w="0" w:type="dxa"/>
              <w:bottom w:w="0" w:type="dxa"/>
              <w:right w:w="0" w:type="dxa"/>
            </w:tcMar>
            <w:vAlign w:val="center"/>
          </w:tcPr>
          <w:p>
            <w:pPr>
              <w:pStyle w:val="TableContents"/>
              <w:bidi w:val="0"/>
              <w:spacing w:before="60" w:after="283"/>
              <w:ind w:left="0" w:right="0" w:firstLine="172"/>
              <w:jc w:val="left"/>
              <w:rPr>
                <w:rFonts w:ascii="Times New Roman" w:hAnsi="Times New Roman"/>
                <w:color w:val="000000"/>
                <w:sz w:val="18"/>
              </w:rPr>
            </w:pPr>
            <w:r>
              <w:rPr>
                <w:rFonts w:ascii="Times New Roman" w:hAnsi="Times New Roman"/>
                <w:color w:val="000000"/>
                <w:sz w:val="18"/>
              </w:rPr>
              <w:t>Emerging growth company</w:t>
            </w:r>
          </w:p>
        </w:tc>
        <w:tc>
          <w:tcPr>
            <w:tcW w:w="533" w:type="dxa"/>
            <w:tcBorders/>
            <w:tcMar>
              <w:top w:w="0" w:type="dxa"/>
              <w:left w:w="0" w:type="dxa"/>
              <w:bottom w:w="0" w:type="dxa"/>
              <w:right w:w="0" w:type="dxa"/>
            </w:tcMar>
            <w:vAlign w:val="center"/>
          </w:tcPr>
          <w:p>
            <w:pPr>
              <w:pStyle w:val="TableContents"/>
              <w:bidi w:val="0"/>
              <w:spacing w:before="60" w:after="283"/>
              <w:ind w:left="0" w:right="0" w:firstLine="172"/>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August</w:t>
      </w:r>
      <w:r>
        <w:rPr>
          <w:rFonts w:ascii="Times New Roman" w:hAnsi="Times New Roman"/>
          <w:color w:val="FF0000"/>
          <w:sz w:val="20"/>
        </w:rPr>
        <w:t xml:space="preserve"> </w:t>
      </w:r>
      <w:r>
        <w:rPr>
          <w:rFonts w:ascii="Times New Roman" w:hAnsi="Times New Roman"/>
          <w:color w:val="000000"/>
          <w:sz w:val="18"/>
        </w:rPr>
        <w:t>7, 2026, the registrant had 370,864,669</w:t>
      </w:r>
      <w:r>
        <w:rPr>
          <w:rFonts w:ascii="Times New Roman" w:hAnsi="Times New Roman"/>
          <w:color w:val="000000"/>
          <w:sz w:val="20"/>
        </w:rPr>
        <w:t xml:space="preserve"> </w:t>
      </w:r>
      <w:r>
        <w:rPr>
          <w:rFonts w:ascii="Times New Roman" w:hAnsi="Times New Roman"/>
          <w:color w:val="000000"/>
          <w:sz w:val="18"/>
        </w:rPr>
        <w:t>shares of common stock, par value $0.01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ATAIBECKLEY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0"/>
        <w:gridCol w:w="8953"/>
        <w:gridCol w:w="512"/>
      </w:tblGrid>
      <w:tr>
        <w:trPr/>
        <w:tc>
          <w:tcPr>
            <w:tcW w:w="740" w:type="dxa"/>
            <w:tcBorders/>
            <w:vAlign w:val="center"/>
          </w:tcPr>
          <w:p>
            <w:pPr>
              <w:pStyle w:val="TableContents"/>
              <w:bidi w:val="0"/>
              <w:spacing w:before="0" w:after="283"/>
              <w:jc w:val="left"/>
              <w:rPr>
                <w:sz w:val="4"/>
                <w:szCs w:val="4"/>
              </w:rPr>
            </w:pPr>
            <w:r>
              <w:rPr>
                <w:sz w:val="4"/>
                <w:szCs w:val="4"/>
              </w:rPr>
            </w:r>
          </w:p>
        </w:tc>
        <w:tc>
          <w:tcPr>
            <w:tcW w:w="895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b/>
                  <w:color w:val="0000FF"/>
                  <w:sz w:val="20"/>
                  <w:u w:val="single"/>
                </w:rPr>
                <w:t>Forward-Looking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rFonts w:ascii="Times New Roman" w:hAnsi="Times New Roman"/>
                <w:b/>
                <w:color w:val="000000"/>
                <w:sz w:val="20"/>
              </w:rPr>
              <w:t xml:space="preserve">PART I. </w:t>
            </w:r>
            <w:hyperlink w:anchor="part_1_financial_information">
              <w:r>
                <w:rPr>
                  <w:rStyle w:val="InternetLink"/>
                  <w:rFonts w:ascii="Times New Roman" w:hAnsi="Times New Roman"/>
                  <w:b/>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_of_operations">
              <w:r>
                <w:rPr>
                  <w:rStyle w:val="InternetLink"/>
                  <w:rFonts w:ascii="Times New Roman" w:hAnsi="Times New Roman"/>
                  <w:color w:val="0000FF"/>
                  <w:sz w:val="20"/>
                  <w:u w:val="single"/>
                </w:rPr>
                <w:t>Condensed Consolidated Statements of Operations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Comprehensive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equity_and_nci">
              <w:r>
                <w:rPr>
                  <w:rStyle w:val="InternetLink"/>
                  <w:rFonts w:ascii="Times New Roman" w:hAnsi="Times New Roman"/>
                  <w:color w:val="0000FF"/>
                  <w:sz w:val="20"/>
                  <w:u w:val="single"/>
                </w:rPr>
                <w:t>Condensed Consolidated Statements of Changes in Stockholders’ Equity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otnotes">
              <w:r>
                <w:rPr>
                  <w:rStyle w:val="InternetLink"/>
                  <w:rFonts w:ascii="Times New Roman" w:hAnsi="Times New Roman"/>
                  <w:color w:val="0000FF"/>
                  <w:sz w:val="20"/>
                  <w:u w:val="single"/>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market_risk">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rFonts w:ascii="Times New Roman" w:hAnsi="Times New Roman"/>
                <w:b/>
                <w:color w:val="000000"/>
                <w:sz w:val="20"/>
              </w:rPr>
              <w:t xml:space="preserve">PART II. </w:t>
            </w:r>
            <w:hyperlink w:anchor="part_ii_other_information">
              <w:r>
                <w:rPr>
                  <w:rStyle w:val="InternetLink"/>
                  <w:rFonts w:ascii="Times New Roman" w:hAnsi="Times New Roman"/>
                  <w:b/>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2_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2_sales_of_securities">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3_default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4_mine_safety">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CAUTIONARY NOTE REGARDING FORWARD LOOKING STATEMENTS</w:t>
      </w:r>
    </w:p>
    <w:p>
      <w:pPr>
        <w:pStyle w:val="TextBody"/>
        <w:bidi w:val="0"/>
        <w:spacing w:before="15" w:after="283"/>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This Quarterly Report on Form 10-Q for the quarterly period ended June 30, 2026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All statements contained in this Quarterly Report other than statements of historical fact are forward-looking statements, including without limitation statements regarding our pending Merger (as defined below) future operating results and financial position; the success, cost, and timing of development of our product candidates, including the progress of preclinical studies and clinical trials and related milestones; the commercialization of our current product candidates and any other product candidates we may identify and pursue, if approved, including, in the event the Merger is not completed, our ability to successfully build a specialty sales force and commercial infrastructure to market our current product candidates and any other product candidates we may identify and pursue; the timing of and our ability to obtain and maintain regulatory approvals; our business strategy and plans; the ability to generate revenue from any current or future licensing agreements and other strategic arrangements, the sufficiency of our cash and cash equivalents and short-term securities to fund our operations; the value, liquidity and potential use as a source of non-dilutive funding of our digital asset holdings; and the plans and objectives of management for future operations and capital expenditures. The words “believe,” “may,” “will,” “estimate,” “continue,” “anticipate,” “intend,” “expect,” “could,” “would,” “project,” “plan,” “potentially,” “preliminary,” “likely,” and similar expressions are intended to identify forward-looking statements.</w:t>
      </w:r>
    </w:p>
    <w:p>
      <w:pPr>
        <w:pStyle w:val="TextBody"/>
        <w:bidi w:val="0"/>
        <w:jc w:val="left"/>
        <w:rPr>
          <w:rFonts w:ascii="Times New Roman" w:hAnsi="Times New Roman"/>
          <w:sz w:val="20"/>
        </w:rPr>
      </w:pPr>
      <w:r>
        <w:rPr>
          <w:rFonts w:ascii="Times New Roman" w:hAnsi="Times New Roman"/>
          <w:i/>
          <w:color w:val="000000"/>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 we are subject to risks associated with our entrance into the Merger Agreement with Lilly and Merger Sub (each as defined below), including the possibility that our stockholders may not approve the adoption of the Merger Agreement; our potential receipt of any competing offers or acquisition proposals; a failure to (or delay in) receiving the required regulatory clearances for the Merger; a condition to closing of the Merger may not be satisfied (or waived); the ability of each party to consummate the Merger; the closing of the Merger might be delayed or not occur at all; the diversion of management time and attention from ongoing business operations and opportunities; the response of competitors to the Merger; the effect of the Merger and the public announcement of the Merger on our operations and our relationships with suppliers, business partners, management and employees, including our ability to attract and retain key personnel; that all or any of the potential milestone payments pursuant to the CVRs (as defined below) will become payable on the terms described herein or at all; the outcome of any legal proceedings that could be instituted against the parties to the Merger; the risks inherent in drug research, development and commercialization; disruption in our plans and operations attributable to the Merger; changes in our business during the period between announcement and closing of the Merger;</w:t>
      </w:r>
      <w:r>
        <w:rPr>
          <w:rFonts w:ascii="Times New Roman" w:hAnsi="Times New Roman"/>
          <w:color w:val="000000"/>
          <w:sz w:val="20"/>
        </w:rPr>
        <w:t xml:space="preserve"> </w:t>
      </w:r>
      <w:r>
        <w:rPr>
          <w:rFonts w:ascii="Times New Roman" w:hAnsi="Times New Roman"/>
          <w:i/>
          <w:color w:val="000000"/>
          <w:sz w:val="20"/>
        </w:rPr>
        <w:t>restrictions on our business operations during the pendency of the Merger; potential conflicts of interest of our directors and executive officers in connection with the Merger; and the effects of the Merger (or the announcement thereof) on our stock price; we are a clinical-stage biotechnology company and have incurred significant losses since our inception, and we expect to incur losses for the foreseeable future and may never be profitable; our limited operating history may make it difficult for you to evaluate the success of our business and to assess our future viability; if we are unable to obtain funding when needed and on acceptable terms, we could be forced to delay, limit or discontinue our product candidate development efforts; raising additional capital, such as through future sales and issuances of our common stock or rights to purchase common stock, including pursuant to our equity incentive plans, may cause dilution to our shareholders, restrict our operations or require us to relinquish rights to current product candidates or to any future product candidates on unfavorable terms;</w:t>
      </w:r>
      <w:r>
        <w:rPr>
          <w:rFonts w:ascii="Times New Roman" w:hAnsi="Times New Roman"/>
          <w:color w:val="000000"/>
          <w:sz w:val="20"/>
        </w:rPr>
        <w:t xml:space="preserve"> </w:t>
      </w:r>
      <w:r>
        <w:rPr>
          <w:rFonts w:ascii="Times New Roman" w:hAnsi="Times New Roman"/>
          <w:i/>
          <w:color w:val="000000"/>
          <w:sz w:val="20"/>
        </w:rPr>
        <w:t>our product candidates are in preclinical or clinical development, which is a lengthy and expensive process with uncertain outcomes, and we cannot give any assurance that any of our product candidates will be successfully developed and/or receive regulatory approval, which is necessary before they can be commercialized; we may not achieve our publicly announced milestones according to schedule, or at all; we currently rely on qualified healthcare professionals working at third-party clinical trial sites to administer certain of our product candidates in our clinical trials and we expect this to continue upon approval, if any, of our current or future product candidates, and if third-party sites fail to recruit and retain a sufficient number of qualified healthcare professionals or effectively manage their professionals, our business, financial condition and results of operations would be materially harmed; research and development of drugs targeting the central nervous system, or CNS, is particularly difficult, and it can be difficult to predict and understand why a drug has a positive effect on some patients but not others, which may reduce the likelihood our product candidates are ultimately approved and therefore may have a material adverse effect on our business and operating results; the production and sale of our product candidates may be considered illegal or may otherwise be restricted due to the use of controlled substances, which may also have consequences for the legality of investments from foreign jurisdictions and therefore we may not be successful in commercializing our product candidates in such jurisdictions, which will adversely affect our business, financial condition and results of operations; we face significant competition in an environment of rapid technological and scientific change, and there is a possibility that our competitors may achieve regulatory approval before we do or develop therapies that are safer, more advanced or more effective than ours, which may negatively impact our ability to successfully market or commercialize any product candidates we may develop and ultimately harm our financial condition; we rely on third parties to assist in conducting our clinical trials and some aspects of our research and preclinical testing, and those third parties may not perform satisfactorily, including failing to meet deadlines for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completion of such trials, research, or testing; if we are unable to obtain and maintain sufficient intellectual property protection for our existing product candidates or any other product candidates that we may identify, or if the scope of the intellectual property protection we currently have or obtain in the future is not sufficiently broad, our competitors could develop and commercialize product candidates similar or identical to ours, and our ability to successfully commercialize our existing product candidates and any other product candidates that we may pursue may be impaired; third parties may claim that we are infringing, misappropriating or otherwise violating their intellectual property rights, the outcome of which would be uncertain and may prevent or delay our development and commercialization efforts; our business is subject to global financial and economic conditions and geopolitical events, including overall market volatility in the global financial markets, as well as political, trade and regulatory developments; our business is subject to economic, political, regulatory and other risks associated with international operations; our future success depends on our ability to retain key employees, directors, consultants and advisors and to attract, retain and motivate qualified personnel; a pandemic, epidemic, or outbreak of an infectious disease may materially and adversely affect our business, including our preclinical studies, clinical trials, trial sites, third parties on whom we rely, our supply chain, our ability to raise capital, our ability to conduct regular business and our financial results; if we fail to maintain an effective system of disclosure controls and internal control over financial reporting, our ability to produce timely and accurate financial statements or comply with applicable regulations could be impaired, and other risks, uncertainties, and assumptions described under “Risk Factors” in Item 1A of Part I, “Management’s Discussion and Analysis of Financial Condition and Results of Operations” in Item 7 of Part II and elsewhere in our Annual Report on Form 10-K for the year ended December 31, 2025 (the “Form 10-K”).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Quarterly Report or to conform these statements to actual results or revised expectations.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otherwise requires, all references in this Quarterly Report to “we,” “us,” “our,” “atai” or the “Company” refer to ATAI Life Sciences N.V and its consolidated subsidiaries prior to the consummation of the strategic combination with Beckley Psytech Limited (the “Beckley Psytech Acquisition”), to Atai Beckley N.V. and its consolidated subsidiaries after the consummation of the Beckley Psytech Acquisition and prior to the Redomiciliation Transaction (as defined below) and to AtaiBeckley Inc. and its consolidated subsidiaries after the consummation of the Redomiciliation Transaction. In addition, “AtaiBeckley” refers to AtaiBeckley Inc. and its consolidated subsidiaries after the consummation of the Redomiciliation Transaction. References to "Quarterly Report" herein refer to this Quarterly Report on Form 10-Q for the quarterly period ended June 30, 2026 and references to “Form 10-K” and “Annual Report” herein refer to our Annual Report on Form 10-K for the fiscal year ended December 31, 2025.</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All reports we file with the SEC are available for download free of charge via the Electronic Data Gathering Analysis and Retrieval (EDGAR) System on the SEC’s website at www.sec.gov. We also make electronic copies of our reports available for download, free of charge, through our investor relations website at </w:t>
      </w:r>
      <w:r>
        <w:rPr>
          <w:rFonts w:ascii="Times New Roman" w:hAnsi="Times New Roman"/>
          <w:i/>
          <w:color w:val="000000"/>
          <w:sz w:val="20"/>
        </w:rPr>
        <w:t>ir.ataibeckley.com</w:t>
      </w:r>
      <w:r>
        <w:rPr>
          <w:rFonts w:ascii="Times New Roman" w:hAnsi="Times New Roman"/>
          <w:color w:val="000000"/>
          <w:sz w:val="20"/>
        </w:rPr>
        <w:t xml:space="preserve"> as soon as reasonably practicable after filing such material with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announce material business and financial information to our investors using our investor relations website at ir.ataibeckley.com. We therefore encourage investors and others interested in AtaiBeckley to review the information that we make available on our website, in addition to following our filings with the SEC, webcasts, press releases and conference calls. Information contained on our website is not incorporated into, and does not form a part of, this Quarterly Report.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1_financial_information"/>
      <w:bookmarkEnd w:id="3"/>
      <w:r>
        <w:rPr>
          <w:rFonts w:ascii="Times New Roman" w:hAnsi="Times New Roman"/>
          <w:b/>
          <w:color w:val="000000"/>
          <w:sz w:val="20"/>
        </w:rPr>
        <w:t>PART I - FINANCIAL INFORMATION</w:t>
      </w:r>
    </w:p>
    <w:p>
      <w:pPr>
        <w:pStyle w:val="TextBody"/>
        <w:bidi w:val="0"/>
        <w:spacing w:before="100" w:after="283"/>
        <w:jc w:val="left"/>
        <w:rPr>
          <w:rFonts w:ascii="Times New Roman" w:hAnsi="Times New Roman"/>
          <w:sz w:val="20"/>
        </w:rPr>
      </w:pPr>
      <w:bookmarkStart w:id="4" w:name="item_1_financial_statement"/>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ATAIBECKLEY INC.</w:t>
      </w:r>
    </w:p>
    <w:p>
      <w:pPr>
        <w:pStyle w:val="TextBody"/>
        <w:bidi w:val="0"/>
        <w:jc w:val="center"/>
        <w:rPr>
          <w:rFonts w:ascii="Times New Roman" w:hAnsi="Times New Roman"/>
          <w:b/>
          <w:color w:val="000000"/>
          <w:sz w:val="20"/>
        </w:rPr>
      </w:pPr>
      <w:bookmarkStart w:id="5" w:name="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62"/>
        <w:gridCol w:w="546"/>
        <w:gridCol w:w="196"/>
        <w:gridCol w:w="886"/>
        <w:gridCol w:w="166"/>
        <w:gridCol w:w="146"/>
        <w:gridCol w:w="197"/>
        <w:gridCol w:w="894"/>
        <w:gridCol w:w="512"/>
      </w:tblGrid>
      <w:tr>
        <w:trPr/>
        <w:tc>
          <w:tcPr>
            <w:tcW w:w="666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85,300</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Securities carried at fair value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135,351</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current investments held at fair value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35,389</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19,644</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275,684</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Digital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8,735</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292,723</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Liabilities and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4,906</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14,168</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2,610</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23,479</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 liability - related party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portion of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Pre-funded warrant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44,379</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70,722</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37,500,000</w:t>
            </w:r>
            <w:r>
              <w:rPr>
                <w:rFonts w:ascii="Times New Roman" w:hAnsi="Times New Roman"/>
                <w:color w:val="000000"/>
                <w:sz w:val="20"/>
              </w:rPr>
              <w:t> </w:t>
            </w:r>
            <w:r>
              <w:rPr>
                <w:rFonts w:ascii="Times New Roman" w:hAnsi="Times New Roman"/>
                <w:color w:val="000000"/>
                <w:sz w:val="16"/>
              </w:rPr>
              <w:t>and zero</w:t>
            </w:r>
            <w:r>
              <w:rPr>
                <w:rFonts w:ascii="Times New Roman" w:hAnsi="Times New Roman"/>
                <w:color w:val="000000"/>
                <w:sz w:val="20"/>
              </w:rPr>
              <w:t> </w:t>
            </w:r>
            <w:r>
              <w:rPr>
                <w:rFonts w:ascii="Times New Roman" w:hAnsi="Times New Roman"/>
                <w:color w:val="000000"/>
                <w:sz w:val="16"/>
              </w:rPr>
              <w:t xml:space="preserve">shares authorized at June 30, 2026 and December 31, 2025, </w:t>
              <w:br/>
              <w:t>   respectively; no</w:t>
            </w:r>
            <w:r>
              <w:rPr>
                <w:rFonts w:ascii="Times New Roman" w:hAnsi="Times New Roman"/>
                <w:color w:val="000000"/>
                <w:sz w:val="20"/>
              </w:rPr>
              <w:t> </w:t>
            </w:r>
            <w:r>
              <w:rPr>
                <w:rFonts w:ascii="Times New Roman" w:hAnsi="Times New Roman"/>
                <w:color w:val="000000"/>
                <w:sz w:val="16"/>
              </w:rPr>
              <w:t>shares issued or outstanding at June 30, 2026 and December 31, 2025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at June 30, 2026 and December 31, 2025, respectively; 750,000,000</w:t>
            </w:r>
            <w:r>
              <w:rPr>
                <w:rFonts w:ascii="Times New Roman" w:hAnsi="Times New Roman"/>
                <w:color w:val="000000"/>
                <w:sz w:val="20"/>
              </w:rPr>
              <w:t> </w:t>
            </w:r>
            <w:r>
              <w:rPr>
                <w:rFonts w:ascii="Times New Roman" w:hAnsi="Times New Roman"/>
                <w:color w:val="000000"/>
                <w:sz w:val="16"/>
              </w:rPr>
              <w:t>shares</w:t>
              <w:br/>
              <w:t>   authorized at June 30, 2026 and December 31, 2025, respectively; 369,214,760</w:t>
            </w:r>
            <w:r>
              <w:rPr>
                <w:rFonts w:ascii="Times New Roman" w:hAnsi="Times New Roman"/>
                <w:color w:val="000000"/>
                <w:sz w:val="20"/>
              </w:rPr>
              <w:t> </w:t>
            </w:r>
            <w:r>
              <w:rPr>
                <w:rFonts w:ascii="Times New Roman" w:hAnsi="Times New Roman"/>
                <w:color w:val="000000"/>
                <w:sz w:val="16"/>
              </w:rPr>
              <w:t>and 363,280,522</w:t>
            </w:r>
            <w:r>
              <w:rPr>
                <w:rFonts w:ascii="Times New Roman" w:hAnsi="Times New Roman"/>
                <w:color w:val="000000"/>
                <w:sz w:val="20"/>
              </w:rPr>
              <w:t> </w:t>
            </w:r>
            <w:r>
              <w:rPr>
                <w:rFonts w:ascii="Times New Roman" w:hAnsi="Times New Roman"/>
                <w:color w:val="000000"/>
                <w:sz w:val="16"/>
              </w:rPr>
              <w:t xml:space="preserve">shares </w:t>
              <w:br/>
              <w:t>   issued and outstanding at June 30, 2026 and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3,633</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1,599,421</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(20,926</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(1,360,254</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stockholders’ equity attributable to AtaiBeckley Inc. stockholders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221,874</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Noncontrolling interests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222,001</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liabilities and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292,723</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ATAIBECKLEY INC.</w:t>
      </w:r>
    </w:p>
    <w:p>
      <w:pPr>
        <w:pStyle w:val="TextBody"/>
        <w:bidi w:val="0"/>
        <w:spacing w:before="4" w:after="283"/>
        <w:jc w:val="center"/>
        <w:rPr>
          <w:rFonts w:ascii="Times New Roman" w:hAnsi="Times New Roman"/>
          <w:sz w:val="20"/>
        </w:rPr>
      </w:pPr>
      <w:bookmarkStart w:id="6" w:name="consolidated_statement_of_operations"/>
      <w:bookmarkEnd w:id="6"/>
      <w:r>
        <w:rPr>
          <w:rFonts w:ascii="Times New Roman" w:hAnsi="Times New Roman"/>
          <w:b/>
          <w:color w:val="000000"/>
          <w:sz w:val="20"/>
        </w:rPr>
        <w:t>CONDENSED CONSOLIDATED STATEMEN</w:t>
      </w:r>
      <w:bookmarkStart w:id="7" w:name="statementsof_operations"/>
      <w:bookmarkEnd w:id="7"/>
      <w:r>
        <w:rPr>
          <w:rFonts w:ascii="Times New Roman" w:hAnsi="Times New Roman"/>
          <w:b/>
          <w:color w:val="000000"/>
          <w:sz w:val="20"/>
        </w:rPr>
        <w:t>TS OF OPERATIONS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6" w:after="283"/>
        <w:jc w:val="left"/>
        <w:rPr/>
      </w:pPr>
      <w:r>
        <w:rPr/>
        <w:t> </w:t>
      </w:r>
    </w:p>
    <w:tbl>
      <w:tblPr>
        <w:tblW w:w="10205" w:type="dxa"/>
        <w:jc w:val="left"/>
        <w:tblInd w:w="0" w:type="dxa"/>
        <w:tblLayout w:type="fixed"/>
        <w:tblCellMar>
          <w:top w:w="28" w:type="dxa"/>
          <w:left w:w="28" w:type="dxa"/>
          <w:bottom w:w="28" w:type="dxa"/>
          <w:right w:w="28" w:type="dxa"/>
        </w:tblCellMar>
      </w:tblPr>
      <w:tblGrid>
        <w:gridCol w:w="3280"/>
        <w:gridCol w:w="546"/>
        <w:gridCol w:w="197"/>
        <w:gridCol w:w="1014"/>
        <w:gridCol w:w="167"/>
        <w:gridCol w:w="147"/>
        <w:gridCol w:w="197"/>
        <w:gridCol w:w="1014"/>
        <w:gridCol w:w="166"/>
        <w:gridCol w:w="146"/>
        <w:gridCol w:w="196"/>
        <w:gridCol w:w="1006"/>
        <w:gridCol w:w="166"/>
        <w:gridCol w:w="146"/>
        <w:gridCol w:w="196"/>
        <w:gridCol w:w="1006"/>
        <w:gridCol w:w="615"/>
      </w:tblGrid>
      <w:tr>
        <w:trPr/>
        <w:tc>
          <w:tcPr>
            <w:tcW w:w="328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License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 services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28,074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22,420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17,771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25,497</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45,845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(44,141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(45,643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Benefit from research and development tax credits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assets and liabilities,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on other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digital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debt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exchange gain (loss),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income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(8,319</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(32,484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(53,962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(32,548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(54,211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attributable to noncontrolling interests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AtaiBeckley Inc. stockholders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(32,524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(54,160</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attributable to AtaiBeckley Inc.</w:t>
              <w:br/>
              <w:t>   stockholders —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(0.29</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Weighted average shares of common stock outstanding attributable </w:t>
              <w:br/>
              <w:t>   to AtaiBeckley Inc. stockholders —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360,753,298</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196,563,699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359,096,616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186,473,494</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 w:after="283"/>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ATAIBECKLEY INC.</w:t>
      </w:r>
    </w:p>
    <w:p>
      <w:pPr>
        <w:pStyle w:val="TextBody"/>
        <w:bidi w:val="0"/>
        <w:spacing w:before="4" w:after="283"/>
        <w:jc w:val="center"/>
        <w:rPr>
          <w:rFonts w:ascii="Times New Roman" w:hAnsi="Times New Roman"/>
          <w:b/>
          <w:color w:val="000000"/>
          <w:sz w:val="20"/>
        </w:rPr>
      </w:pPr>
      <w:bookmarkStart w:id="8" w:name="comprehensive_loss"/>
      <w:bookmarkEnd w:id="8"/>
      <w:r>
        <w:rPr>
          <w:rFonts w:ascii="Times New Roman" w:hAnsi="Times New Roman"/>
          <w:b/>
          <w:color w:val="000000"/>
          <w:sz w:val="20"/>
        </w:rPr>
        <w:t>CONDENSED CONSOLIDATED STATEMENTS OF COMPREHENSIVE LOSS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65"/>
        <w:gridCol w:w="346"/>
        <w:gridCol w:w="252"/>
        <w:gridCol w:w="850"/>
        <w:gridCol w:w="213"/>
        <w:gridCol w:w="187"/>
        <w:gridCol w:w="252"/>
        <w:gridCol w:w="850"/>
        <w:gridCol w:w="166"/>
        <w:gridCol w:w="146"/>
        <w:gridCol w:w="238"/>
        <w:gridCol w:w="804"/>
        <w:gridCol w:w="201"/>
        <w:gridCol w:w="176"/>
        <w:gridCol w:w="238"/>
        <w:gridCol w:w="804"/>
        <w:gridCol w:w="417"/>
      </w:tblGrid>
      <w:tr>
        <w:trPr/>
        <w:tc>
          <w:tcPr>
            <w:tcW w:w="40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(32,548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(62,350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(54,211</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translation adjustments, net of tax</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(2,462</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(32,415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(61,896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(56,673</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attributable to noncontrolling interests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Foreign currency translation adjustments, net of tax attributable </w:t>
              <w:br/>
              <w:t>   to noncontrolling interests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Comprehensive loss attributable to noncontrolling interests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attributable to AtaiBeckley Inc.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(61,839</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(56,603</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statement_equity_and_nci"/>
      <w:bookmarkEnd w:id="9"/>
      <w:r>
        <w:rPr>
          <w:rFonts w:ascii="Times New Roman" w:hAnsi="Times New Roman"/>
          <w:b/>
          <w:color w:val="000000"/>
          <w:sz w:val="20"/>
        </w:rPr>
        <w:t>ATAIBECKLEY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71"/>
        <w:gridCol w:w="146"/>
        <w:gridCol w:w="146"/>
        <w:gridCol w:w="841"/>
        <w:gridCol w:w="146"/>
        <w:gridCol w:w="146"/>
        <w:gridCol w:w="181"/>
        <w:gridCol w:w="511"/>
        <w:gridCol w:w="146"/>
        <w:gridCol w:w="146"/>
        <w:gridCol w:w="181"/>
        <w:gridCol w:w="586"/>
        <w:gridCol w:w="151"/>
        <w:gridCol w:w="146"/>
        <w:gridCol w:w="224"/>
        <w:gridCol w:w="692"/>
        <w:gridCol w:w="151"/>
        <w:gridCol w:w="146"/>
        <w:gridCol w:w="181"/>
        <w:gridCol w:w="631"/>
        <w:gridCol w:w="151"/>
        <w:gridCol w:w="146"/>
        <w:gridCol w:w="190"/>
        <w:gridCol w:w="616"/>
        <w:gridCol w:w="151"/>
        <w:gridCol w:w="146"/>
        <w:gridCol w:w="299"/>
        <w:gridCol w:w="572"/>
        <w:gridCol w:w="151"/>
        <w:gridCol w:w="146"/>
        <w:gridCol w:w="181"/>
        <w:gridCol w:w="588"/>
        <w:gridCol w:w="199"/>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 Attributable to</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AtaiBeckley Inc.</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167,959,752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816,185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(700,207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116,297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116,554</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627,655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restricted stock units 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Issuance of common stock, net of issuance costs of $4.1</w:t>
            </w:r>
            <w:r>
              <w:rPr>
                <w:rFonts w:ascii="Times New Roman" w:hAnsi="Times New Roman"/>
                <w:color w:val="000000"/>
                <w:sz w:val="20"/>
              </w:rPr>
              <w:t> </w:t>
            </w:r>
            <w:r>
              <w:rPr>
                <w:rFonts w:ascii="Times New Roman" w:hAnsi="Times New Roman"/>
                <w:color w:val="000000"/>
                <w:sz w:val="14"/>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30,119,048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(26,465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199,775,512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875,718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(726,638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152,053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152,274</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2,475,744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Issuance of common stock, net of issuance costs of $1.1</w:t>
            </w:r>
            <w:r>
              <w:rPr>
                <w:rFonts w:ascii="Times New Roman" w:hAnsi="Times New Roman"/>
                <w:color w:val="000000"/>
                <w:sz w:val="20"/>
              </w:rPr>
              <w:t> </w:t>
            </w:r>
            <w:r>
              <w:rPr>
                <w:rFonts w:ascii="Times New Roman" w:hAnsi="Times New Roman"/>
                <w:color w:val="000000"/>
                <w:sz w:val="14"/>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9,993,341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(27,746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212,244,597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895,486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(20,928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(754,367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143,738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143,925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56"/>
        <w:gridCol w:w="146"/>
        <w:gridCol w:w="146"/>
        <w:gridCol w:w="841"/>
        <w:gridCol w:w="146"/>
        <w:gridCol w:w="146"/>
        <w:gridCol w:w="181"/>
        <w:gridCol w:w="436"/>
        <w:gridCol w:w="146"/>
        <w:gridCol w:w="146"/>
        <w:gridCol w:w="181"/>
        <w:gridCol w:w="691"/>
        <w:gridCol w:w="151"/>
        <w:gridCol w:w="146"/>
        <w:gridCol w:w="224"/>
        <w:gridCol w:w="692"/>
        <w:gridCol w:w="151"/>
        <w:gridCol w:w="146"/>
        <w:gridCol w:w="181"/>
        <w:gridCol w:w="736"/>
        <w:gridCol w:w="151"/>
        <w:gridCol w:w="146"/>
        <w:gridCol w:w="186"/>
        <w:gridCol w:w="602"/>
        <w:gridCol w:w="151"/>
        <w:gridCol w:w="146"/>
        <w:gridCol w:w="299"/>
        <w:gridCol w:w="572"/>
        <w:gridCol w:w="151"/>
        <w:gridCol w:w="146"/>
        <w:gridCol w:w="181"/>
        <w:gridCol w:w="587"/>
        <w:gridCol w:w="198"/>
      </w:tblGrid>
      <w:tr>
        <w:trPr/>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 Attributable to</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AtaiBeckley Inc.</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363,280,522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1,599,421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(1,360,254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221,874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222,001</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restricted stock units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1,620,465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(29,802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365,562,925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1,605,667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(20,604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(1,390,036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198,683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198,779</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1,786,338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restricted stock units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1,865,497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7,439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(32,548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369,214,760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1,615,706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(1,422,560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176,367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176,437</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ATAIBECKLEY INC.</w:t>
      </w:r>
    </w:p>
    <w:p>
      <w:pPr>
        <w:pStyle w:val="TextBody"/>
        <w:bidi w:val="0"/>
        <w:jc w:val="center"/>
        <w:rPr>
          <w:rFonts w:ascii="Times New Roman" w:hAnsi="Times New Roman"/>
          <w:b/>
          <w:color w:val="000000"/>
          <w:sz w:val="20"/>
        </w:rPr>
      </w:pPr>
      <w:bookmarkStart w:id="10" w:name="cash_flows"/>
      <w:bookmarkEnd w:id="10"/>
      <w:r>
        <w:rPr>
          <w:rFonts w:ascii="Times New Roman" w:hAnsi="Times New Roman"/>
          <w:b/>
          <w:color w:val="000000"/>
          <w:sz w:val="20"/>
        </w:rPr>
        <w:t>CONDENSED CONSOLIDATED STATEMENTS OF CASH FLOWS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 w:after="283"/>
        <w:jc w:val="center"/>
        <w:rPr/>
      </w:pPr>
      <w:r>
        <w:rPr/>
        <w:t> </w:t>
      </w:r>
    </w:p>
    <w:p>
      <w:pPr>
        <w:pStyle w:val="TextBody"/>
        <w:bidi w:val="0"/>
        <w:jc w:val="left"/>
        <w:rPr/>
      </w:pPr>
      <w:r>
        <w:rPr/>
        <w:t> </w:t>
      </w:r>
    </w:p>
    <w:tbl>
      <w:tblPr>
        <w:tblW w:w="8712" w:type="dxa"/>
        <w:jc w:val="left"/>
        <w:tblInd w:w="0" w:type="dxa"/>
        <w:tblLayout w:type="fixed"/>
        <w:tblCellMar>
          <w:top w:w="28" w:type="dxa"/>
          <w:left w:w="28" w:type="dxa"/>
          <w:bottom w:w="28" w:type="dxa"/>
          <w:right w:w="28" w:type="dxa"/>
        </w:tblCellMar>
      </w:tblPr>
      <w:tblGrid>
        <w:gridCol w:w="5871"/>
        <w:gridCol w:w="146"/>
        <w:gridCol w:w="211"/>
        <w:gridCol w:w="683"/>
        <w:gridCol w:w="176"/>
        <w:gridCol w:w="170"/>
        <w:gridCol w:w="211"/>
        <w:gridCol w:w="648"/>
        <w:gridCol w:w="596"/>
      </w:tblGrid>
      <w:tr>
        <w:trPr/>
        <w:tc>
          <w:tcPr>
            <w:tcW w:w="5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(62,350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(54,211</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change in the fair value of digital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Depreciation and amortization of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change in the fair value of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13,360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Gain on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(3,794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costs allocated to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Unrealized foreign exchange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883</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(6,517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4,311</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(56,363</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(31,935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 and maturities of securities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112,609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11,059</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 of other investment held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23,666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repayment of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asset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136,937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equity offerings,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78,159</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issuance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11,549</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common stock and pre-funded warrant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(2,167</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issuance of shares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1,632</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(21,811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67,362</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 of foreign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83,507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34,435</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cash equivalents and restricted cash –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85,300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27,505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 –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168,807</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61,940</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disclosures of noncash investing and financing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Right of use asset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Common stock and pre-funded warrant issuance costs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Purchase of property and equipment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C0C0E"/>
          <w:sz w:val="20"/>
        </w:rPr>
        <w:t>See accompanying Notes to</w:t>
      </w:r>
      <w:r>
        <w:rPr>
          <w:rFonts w:ascii="Times New Roman" w:hAnsi="Times New Roman"/>
          <w:color w:val="212121"/>
          <w:sz w:val="20"/>
        </w:rPr>
        <w:t xml:space="preserve"> </w:t>
      </w:r>
      <w:r>
        <w:rPr>
          <w:rFonts w:ascii="Times New Roman" w:hAnsi="Times New Roman"/>
          <w:i/>
          <w:color w:val="212121"/>
          <w:sz w:val="20"/>
        </w:rPr>
        <w:t>the unaudited Condensed Consolidated Financial S</w:t>
      </w:r>
      <w:r>
        <w:rPr>
          <w:rFonts w:ascii="Times New Roman" w:hAnsi="Times New Roman"/>
          <w:i/>
          <w:color w:val="0C0C0E"/>
          <w:sz w:val="20"/>
        </w:rPr>
        <w:t>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ATAIBECKLEY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sz w:val="20"/>
        </w:rPr>
      </w:pPr>
      <w:bookmarkStart w:id="11" w:name="footnotes"/>
      <w:bookmarkEnd w:id="11"/>
      <w:r>
        <w:rPr>
          <w:rFonts w:ascii="Times New Roman" w:hAnsi="Times New Roman"/>
          <w:b/>
          <w:color w:val="000000"/>
          <w:sz w:val="20"/>
        </w:rPr>
        <w:t>1. Or</w:t>
      </w:r>
      <w:bookmarkStart w:id="12" w:name="notes"/>
      <w:bookmarkEnd w:id="12"/>
      <w:r>
        <w:rPr>
          <w:rFonts w:ascii="Times New Roman" w:hAnsi="Times New Roman"/>
          <w:b/>
          <w:color w:val="000000"/>
          <w:sz w:val="20"/>
        </w:rPr>
        <w:t>ganization and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AtaiBeckley Inc. (“AtaiBeckley”, “Company”), headquartered in New York, New York, was founded in 2025 through the strategic combination of atai Life Sciences N.V. and Beckley Psytech Limited (“Beckley Psytech”). AtaiBeckley, along with its subsidiaries, is a clinical-stage biotechnology company aiming to create breakthroughs for people with difficult-to-treat mental health conditions. The Company is advancing a pipeline of interventional psychiatric product candidates designed to address the complex nature of mental health disorders. The Company believes that these investigational compounds have the potential to become fast-acting, durable, and commercially scalable therapies for mental health patients in need of new treatment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research is focused on developing rapid-acting, effective and durable mental health treatments that can deliver large-scale patient impact. The Company is committed to leading a new era of mental health treatment – one that not only offers relief from symptoms, but the possibility of an improved quality of life and lasting change.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built a diversified pipeline of drug and discovery development programs, including psychedelic and non-psychedelic compounds. Psychedelics are emerging as novel therapies for mental health disorders, such as depression and, with growing scientific support, recent regulatory advancements and increasing patient and physician acceptance. There is a growing body of clinical evidence that supports the development of psychedelics, which the Company believes may have potential therapeutic benefits, such as a rapid onset of effect and sustained efficacy after a short-course of administration. The Company believes these programs, which include new molecular entities as well as variants of known compounds with unique pharmacology, have the potential to address unmet needs in mental health disorders. These programs vary across stages of development, targeted indication and proposed mechanism of action, which the Company believes will improve the commercial potential and risk profile of our pipeline in the aggregate.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risks and uncertainties common to clinical stage companies in the biotechnology industry, including, but not limited to, development by competitors of new technological innovations, dependence on key personnel, third-party clinical research organizations and manufacturers, protection of proprietary intellectual property and technology, compliance with government regulations and the ability to secure additional capital to fund operations. Therapeutic candidates currently under development will require significant additional Research and development (“R&amp;D”) efforts, including preclinical and clinical testing and regulatory approval, prior to commercialization. These efforts require significant amounts of capital, adequate personnel and infrastructure and extensive compliance-reporting capabilities. Even if the Company’s therapeutic development efforts are successful, it is uncertain when, if ever, the Company will realize revenue from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5, 2025, in connection with the Company’s strategic combination with Beckley Psytech, as described further under Note 4, Acquisitions, the Company changed its name from ATAI Life Sciences N.V. to Atai Beckley N.V. On December 30, 2025, in connection with the Company’s redomiciliation to the United States, as further described below, the Company changed its name to AtaiBeckley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suggests otherwise, references to the “AtaiBeckley”, “atai”, or the “Company” refer to ATAI Life Sciences N.V and its consolidated subsidiaries prior to the consummation of the Beckley Psytech Acquisition (as defined in Note 4, Acquisitions), to Atai Beckley N.V. and its consolidated subsidiaries after the consummation of the Beckley Psytech Acquisition and prior to the Redomiciliation Transaction (as defined below) and to AtaiBeckley Inc. and its consolidated subsidiaries after the consummation of the Redomiciliation Transaction.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Redomiciliation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30, 2025, as part of the previously announced plan to change the Company’s corporate domicile from the Netherlands to the United States via Luxembourg (the “Redomiciliation Transaction”), Atai Beckley N.V. merged with and into atai Life Sciences Luxembourg S.A., a Luxembourg public limited liability company (“atai LuxCo”). On December 30, 2025, atai LuxCo then consummated the conversion (the “Delaware Conversion”) of atai LuxCo into a corporation incorporated under the laws of the State of Delaware under the name AtaiBeckley Inc. As a result of the Redomiciliation Transaction, AtaiBeckley Inc. became the successor issuer to Atai Beckley N.V. pursuant to Rule 12g</w:t>
        <w:noBreakHyphen/>
        <w:t xml:space="preserve">3(a) under the Securities Exchange Act of 1934, as amended (the “Exchange Act”).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Proposed Acquisition by Eli Lilly and Company</w:t>
      </w:r>
    </w:p>
    <w:p>
      <w:pPr>
        <w:pStyle w:val="TextBody"/>
        <w:bidi w:val="0"/>
        <w:jc w:val="left"/>
        <w:rPr>
          <w:rFonts w:ascii="Times New Roman" w:hAnsi="Times New Roman"/>
          <w:color w:val="000000"/>
          <w:sz w:val="20"/>
        </w:rPr>
      </w:pPr>
      <w:r>
        <w:rPr>
          <w:rFonts w:ascii="Times New Roman" w:hAnsi="Times New Roman"/>
          <w:color w:val="000000"/>
          <w:sz w:val="20"/>
        </w:rPr>
        <w:t>On July 15, 2026, the Company entered into an Agreement and Plan of Merger (the “Merger Agreement”) with Eli Lilly and Company, an Indiana corporation (“Lilly”), and Albali Acquisition Corporation, a Delaware corporation and indirect wholly owned subsidiary of Lilly (“Merger Sub”), pursuant to which, subject to satisfaction or waiver of the conditions therein, Merger Sub will merge with and into the Company (the “Merger”), with the Company surviving as a wholly owned subsidiary of Lilly.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Merger Agreement, at the effective time of the Merger, each outstanding share of the Company’s common stock (subject to customary exceptions) will be converted into the right to receive (i) $6.75 in cash, without interest and less any applicable tax withholding, plus (ii) one non-transferable contingent value right (a “CVR”) entitling the holder to receive up to $2.50 per share in additional cash upon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achievement of specified development and regulatory milestones related to the BPL-003 and VLS-01 programs. There can be no assurance that any payments will be made with respect to the CVRs.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is not subject to any financing condition and is expected to close in the third quarter, subject to approval by the Company’s stockholders and satisfaction of other customary closing conditions, including regulatory approvals. See Note 26, Subsequent Events, for additional details regarding the Merger Agreement.</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jc w:val="left"/>
        <w:rPr>
          <w:rFonts w:ascii="Times New Roman" w:hAnsi="Times New Roman"/>
          <w:color w:val="000000"/>
          <w:sz w:val="20"/>
        </w:rPr>
      </w:pPr>
      <w:r>
        <w:rPr>
          <w:rFonts w:ascii="Times New Roman" w:hAnsi="Times New Roman"/>
          <w:color w:val="000000"/>
          <w:sz w:val="20"/>
        </w:rPr>
        <w:t>The Company has incurred significant losses and negative cash flows from operations since its inception. As of June 30, 2026, the Company had cash and cash equivalents of $168.8 million and short-term securities of $23.0 million and its accumulated deficit was $1.4 billion. The Company has historically financed its operations through the sale of equity securities, sale of convertible notes, and revenue generated from licensing and collaboration arrangements. The Company has not generated any revenues to date from the sale of its core product candidates and does not anticipate generating any revenues from the sale of either unless and until it successfully completes development and obtains regulatory approval to market its product candidates. The Company recognizes revenue from license and research and development arrangements through Nualtis Corp. (“Nualtis”).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currently expects that its existing cash and cash equivalents and short-term securities as of June 30, 2026 will be sufficient to fund its operating expenses and capital expenditure requirements for at least the next 12 months from the date the unaudited condensed consolidated financial statements are issued.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Basis of Presentation, Consolidation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(“U.S. GAAP”) for interim financial information and follow the requirements of the United States Securities and Exchange Commission (“SEC”) for interim financial reporting. Accordingly, these unaudited condensed consolidated financial statements do not include all of the information and disclosures required by U.S. GAAP for complete financial statements as certain footnotes or other financial information that are normally required by U.S. GAAP can be condensed or omitted. These unaudited condensed consolidated financial statements should be read in conjunction with the Company’s audited consolidated financial statements and notes thereto included in the Company’s Annual Report on Form 10-K for the year ended December 31, 2025, filed with the SEC on March 6,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financial position, its results of operations and comprehensive loss, and its cash flows for the periods presented. The results of operations for the three and six months ended June 30, 2026 are not necessarily indicative of the results to be expected for the year ending December 31, 2026 or for any other future annual or interim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accounting guidance is meant to refer to the authoritative U.S. GAAP included in the Accounting Standards Codification (“ASC”), and Accounting Standards Update (“ASU”) issued by the Financial Accounting Standards Board (“FASB”).</w:t>
      </w:r>
    </w:p>
    <w:p>
      <w:pPr>
        <w:pStyle w:val="TextBody"/>
        <w:bidi w:val="0"/>
        <w:spacing w:before="120" w:after="283"/>
        <w:jc w:val="left"/>
        <w:rPr>
          <w:rFonts w:ascii="Times New Roman" w:hAnsi="Times New Roman"/>
          <w:sz w:val="20"/>
        </w:rPr>
      </w:pPr>
      <w:r>
        <w:rPr>
          <w:rFonts w:ascii="Times New Roman" w:hAnsi="Times New Roman"/>
          <w:b/>
          <w:i/>
          <w:color w:val="000000"/>
          <w:sz w:val="20"/>
        </w:rPr>
        <w:t>Reclassifications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reclassifications were made to prior period amounts in the unaudited condensed consolidated financial statements to conform with current year presentation. Reclassifications were made to the prior year presentation of the changes in operating assets and liabilities within</w:t>
      </w:r>
    </w:p>
    <w:p>
      <w:pPr>
        <w:pStyle w:val="TextBody"/>
        <w:bidi w:val="0"/>
        <w:jc w:val="left"/>
        <w:rPr>
          <w:rFonts w:ascii="Times New Roman" w:hAnsi="Times New Roman"/>
          <w:color w:val="000000"/>
          <w:sz w:val="20"/>
        </w:rPr>
      </w:pPr>
      <w:r>
        <w:rPr>
          <w:rFonts w:ascii="Times New Roman" w:hAnsi="Times New Roman"/>
          <w:color w:val="000000"/>
          <w:sz w:val="20"/>
        </w:rPr>
        <w:t>the condensed consolidated statement of cashflows as the changes in Deferred revenue in the prior year was included as a component of the changes in Accrued liabilities and the changes in Other assets in the prior year was included as a component of the changes in Prepaid and other assets in the prior year.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unaudited condensed consolidated financial statements include the accounts of AtaiBeckley and its subsidiaries. All intercompany balances and transactions have been eliminated in the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policy is to consolidate all entities that it controls by ownership of a majority of the outstanding voting stock. In addition, entities that meet the definition of a variable interest entity (“VIE”) for which the Company is the primary beneficiary are consolidated.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 For consolidated entities that are less than wholly owned, the third-party’s holding of equity interest is presented as Noncontrolling interests in the Company's unaudited condensed consolidated balance sheets and unaudited condensed consolidated statements of stockholders' equity. The portion of net earnings attributable to the noncontrolling interests is presented as Net loss attributable to noncontrolling interests in the Company's unaudited condensed consolidated statements of operations.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Ownership interests in entities over which the Company has significant influence, but not a controlling financial interest, are accounted for under either the alternative measurement under ASC Topic 321: </w:t>
      </w:r>
      <w:r>
        <w:rPr>
          <w:rFonts w:ascii="Times New Roman" w:hAnsi="Times New Roman"/>
          <w:i/>
          <w:color w:val="000000"/>
          <w:sz w:val="20"/>
        </w:rPr>
        <w:t>Investments - Equity Securities</w:t>
      </w:r>
      <w:r>
        <w:rPr>
          <w:rFonts w:ascii="Times New Roman" w:hAnsi="Times New Roman"/>
          <w:color w:val="000000"/>
          <w:sz w:val="20"/>
        </w:rPr>
        <w:t xml:space="preserve"> (“ASC 321”) or as an equity method investment. Investments eligible for the measurement alternative under ASC 321 are carried at its initial cost or initial fair value, with remeasurements to fair value upon impairment or upon a price change observed in an orderly transaction of the same or similar investment of the same issuer. For equity method investments where the Company has not elected the fair value option, it records gains (losses) from investments in equity method investees, net of tax, for its proportionate share of the underlying company’s net results until the investment balance is adjusted to zero. If the Company makes subsequent additional investments in that same company, it may record additional gains (losses) based on changes to its investment basis and also may record additional income (loss) in equity method investments. If the Company has elected the fair value option for an equity investment, the fair value of the investment will be recorded upon acquisition and any changes in fair value will be recorded as a component of other income (expense), net. </w:t>
      </w:r>
    </w:p>
    <w:p>
      <w:pPr>
        <w:pStyle w:val="TextBody"/>
        <w:bidi w:val="0"/>
        <w:spacing w:before="120" w:after="283"/>
        <w:jc w:val="left"/>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there were no significant changes to the Company’s significant accounting policies as described in the Company’s audited consolidated financial statements as of, and for, the year ended December 31, 2025.</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w:t>
      </w:r>
      <w:r>
        <w:rPr>
          <w:rFonts w:ascii="Times New Roman" w:hAnsi="Times New Roman"/>
          <w:color w:val="000000"/>
          <w:sz w:val="20"/>
        </w:rPr>
        <w:t>, which is designed to improve income statement expense disclosures, primarily by requiring new financial statement disclosures in tabular format and disaggregating information about prescribed categories underlying any relevant income statement captions. The standard is effective for fiscal years beginning after December 15, 2026 and interim periods within fiscal years beginning after December 15, 2027, with early adoption permitted. Upon adoption, the new standard may be applied prospectively or retrospectively. The Company is currently evaluating the impact that the adoption may have on its unaudited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(Subtopic 450-40): Targeted Improvements to the Accounting for Internal-Use Software</w:t>
      </w:r>
      <w:r>
        <w:rPr>
          <w:rFonts w:ascii="Times New Roman" w:hAnsi="Times New Roman"/>
          <w:color w:val="000000"/>
          <w:sz w:val="20"/>
        </w:rPr>
        <w:t xml:space="preserve">, which amends certain aspects of the accounting for and disclosure of software costs under ASC Subtopic 350-40, </w:t>
      </w:r>
      <w:r>
        <w:rPr>
          <w:rFonts w:ascii="Times New Roman" w:hAnsi="Times New Roman"/>
          <w:i/>
          <w:color w:val="000000"/>
          <w:sz w:val="20"/>
        </w:rPr>
        <w:t>Internal Use Software</w:t>
      </w:r>
      <w:r>
        <w:rPr>
          <w:rFonts w:ascii="Times New Roman" w:hAnsi="Times New Roman"/>
          <w:color w:val="000000"/>
          <w:sz w:val="20"/>
        </w:rPr>
        <w:t xml:space="preserve">. The standard is effective for fiscal years beginning after December 15, 2027 and interim periods within fiscal years beginning after December 15, 2027, with early adoption permitted. Entities may elect to apply the guidance prospectively, retrospectively, or through a modified prospective transition method. The Company is currently evaluating the impact that the adoption may have on its unaudited condensed consolidated financial statements.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2025-07, </w:t>
      </w:r>
      <w:r>
        <w:rPr>
          <w:rFonts w:ascii="Times New Roman" w:hAnsi="Times New Roman"/>
          <w:i/>
          <w:color w:val="000000"/>
          <w:sz w:val="20"/>
        </w:rPr>
        <w:t>Derivatives and Hedging (subtopic 815): Derivatives Scope Refinements and Scope Clarification for Share-Based Noncash Consideration from a Customer in a Revenue Contract,</w:t>
      </w:r>
      <w:r>
        <w:rPr>
          <w:rFonts w:ascii="Times New Roman" w:hAnsi="Times New Roman"/>
          <w:color w:val="000000"/>
          <w:sz w:val="20"/>
        </w:rPr>
        <w:t xml:space="preserve"> which expands the scope exceptions within ASC Topic 815, </w:t>
      </w:r>
      <w:r>
        <w:rPr>
          <w:rFonts w:ascii="Times New Roman" w:hAnsi="Times New Roman"/>
          <w:i/>
          <w:color w:val="000000"/>
          <w:sz w:val="20"/>
        </w:rPr>
        <w:t xml:space="preserve">Derivatives and Hedging, </w:t>
      </w:r>
      <w:r>
        <w:rPr>
          <w:rFonts w:ascii="Times New Roman" w:hAnsi="Times New Roman"/>
          <w:color w:val="000000"/>
          <w:sz w:val="20"/>
        </w:rPr>
        <w:t>to include certain nonexchange-traded contracts with underlyings that are based on operations or activities specific to one of the parties to the contract, including research and development funding arrangements. The standard is effective for annual fiscal years beginning after December 15, 2026 and interim periods within fiscal years beginning after December 15, 2026, with early adoption permitted. Entities should apply the amendments either prospectively for contracts entered into on or after the date of adoption or on a modified retrospective basis through a cumulative-effect adjustment to the opening balance of retained earnings for contracts that exist as of the beginning of the annual reporting period of adoption. The Company is currently evaluating the impact that the adoption may have on its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1, Organization and Description of Business, the Company's primary operations are inclusive of the research and development of several product candidates. The Company's ability to generate revenue will depend substantially on the successful development and eventual commercialization of product candidates. For the three and six months ended June 30, 2026 and 2025, the Company has not recognized revenue from its primary operations and does not expect to do so for at least the next several years. The Company does generate revenue from license agreements and research and development agreements through its Nualtis subsidiary, which is further explained below:</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Rizafilm LLC License and Supply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Nualtis entered into an Amended &amp; Restated Asset Purchase Agreement ("APA") and an Amended &amp; Restated Supply Agreement ("Supply Agreement") with Rizafilm LLC ("Rizafilm"). Under the APA, Nualtis sold licensing and intellectual property rights of Nualtis' oral thin film technology in exchange for an upfront payment of $0.2 million and an additional $0.5 million upon completion of certain manufacturing milestones. Under the Supply Agreement, subject to approval by the Food and Drug Administration (“FDA”), Nualtis will serve as the sole manufacturer of Rizafilm's products over a five year term with an automatic renewal option for an additional five years unless either party provides sufficient written notice. Additionally, the Supply Agreement requires Rizafilm to adhere to certain firm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and 2025, the Company recognized $0.3 million and no license revenue, respectively, related to the completion of certain milestones under the APA. During the six months ended June 30, 2026 and 2025, the Company recognized $0.5 million and $0.2 million, respectively, of license revenue related to the completion of certain milestones under the APA.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Nualtis is party to certain other insignificant license agreements under which it recognized $0.2 million for the three and six months ended June 30, 2026. Nualtis did not recognize any license revenue for the three and six months ended June 30, 2025 related to these license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Company's license revenue, the Company recognizes revenue through various research and development agreements through Nualtis. In these agreements, Nualtis is responsible for performing research and development services for customers interested in leveraging Nualtis' novel oral thin film technology for drug delivery. Many of these agreements provide Nualtis either the option or the right to serve as the sole manufacturer of these drugs upon regulatory approval. For the three months ended June 30, 2026 and 2025, the Company has recognized $1.2 million and $0.7 million, respectively, in revenue from research and development services. For the six months ended June 30, 2026 and 2025, the Company recognized $2.0 million and $2.1 million, respectively, in revenue from research and development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had contract liabilities of $0.6 million and $1.5 million, respectively, which is recorded within Deferred revenue on the Company's unaudited condensed consolidated balance sheets, and consists of the upfront payments received as part of the various research and development agreements discussed above. As of June 30, 2026, approximately $0.6 million of the contract liability balance is expected to be recognized as revenue from the remaining performance obligations over the next 12 months as performance obligations are satisfied. The Company will re-evaluate the transaction price in each reporting period and as certain events are resolved or other changes in circumstances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the Company's license revenue and research and development revenue has been recognized entirely in North America. Nualtis recognized a significant amount of research and development service revenue from customers that individually represent more than 10% of total research and development service revenue. For the three months ended June 30, 2026, Nualtis recognized research and development service revenue of $0.9 million, $0.2 million, and $0.1 million, respectively, from three customers that individually represent more than 10% of revenue. For the six months ended June 30, 2026, Nualtis recognized research and development service revenue of $1.0 million, $0.7 million, and $0.2 million, respectively, from three customers that individually represent more than 10% of revenue.</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4.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2025 Acquisitions</w:t>
      </w:r>
    </w:p>
    <w:p>
      <w:pPr>
        <w:pStyle w:val="TextBody"/>
        <w:bidi w:val="0"/>
        <w:spacing w:before="120" w:after="283"/>
        <w:jc w:val="left"/>
        <w:rPr>
          <w:rFonts w:ascii="Times New Roman" w:hAnsi="Times New Roman"/>
          <w:sz w:val="20"/>
        </w:rPr>
      </w:pPr>
      <w:r>
        <w:rPr>
          <w:rFonts w:ascii="Times New Roman" w:hAnsi="Times New Roman"/>
          <w:b/>
          <w:i/>
          <w:color w:val="000000"/>
          <w:sz w:val="20"/>
        </w:rPr>
        <w:t>Beckley Psytech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 2025, the Company executed a share purchase agreement with Beckley Psytech, a clinical stage biotechnology company dedicated to improving the lives of people suffering from neuropsychiatric disorders by transforming psychedelics into effective and rapid-acting clinical medicines, and certain other parties thereto (the “SPA”), pursuant to which the Company agreed to acquire from the shareholders of Beckley Psytech (the “Sellers”) the entire issued share capital of Beckley Psytech not already owned by the Company in exchange for an aggregate of 105,044,902 shares of common stock of the Company issued directly as share consideration or underlying replacement awards in each case, as set forth in the SPA (the “Beckley Psytech Acquisition”). Prior to the Company’s acquisition of Beckley Psytech, the Company had an existing investment in Beckley Psytech’s preferred shares. See Note 6, Investments, for details over the Company’s investment in Beckley Psytech prior to the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Subsequently, on October 23, 2025, the Company and Beckley Psytech entered into a side letter deed to the SPA (the “SPA Amendment”), pursuant to which the number of Company common shares to be issued to the Sellers was reduced, on a pro-rata basis, to 103,823,190 common shares. The SPA Amendment also provided for a cash payment of $5.3 million and the issuance of 900,901 common shares, which is included in the SPA Amendment’s reduction in common shares, by the Company to a third party in connection with financial advisory services rendered to Beckley Psytech. The liability recognized by Beckley Psytech for such financial advisory services was assumed by the Company upon completion of the Beckley Psytech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2025, prior to the Company’s acquisition of Beckley Psytech and pursuant to the terms of the SPA, Beckley Psytech distributed its 100% equity ownership of Eleusis Holdings Limited as a dividend in specie pro rata among existing Beckley Psytech shareholders based on their current ownership stakes in Beckley Psytech. Subsequent to the Beckley Psytech’s distribution of Eleusis Holdings Limited, Eleusis Holdings Limited rebranded to Amandala Neuro Limited (“Amandala”). See Note 6, Investments, for details. </w:t>
      </w:r>
    </w:p>
    <w:p>
      <w:pPr>
        <w:pStyle w:val="TextBody"/>
        <w:bidi w:val="0"/>
        <w:spacing w:before="120" w:after="283"/>
        <w:jc w:val="left"/>
        <w:rPr>
          <w:rFonts w:ascii="Times New Roman" w:hAnsi="Times New Roman"/>
          <w:sz w:val="20"/>
        </w:rPr>
      </w:pPr>
      <w:r>
        <w:rPr>
          <w:rFonts w:ascii="Times New Roman" w:hAnsi="Times New Roman"/>
          <w:color w:val="000000"/>
          <w:sz w:val="20"/>
        </w:rPr>
        <w:t>On November 5, 2025 (the “Acquisition Date”), the Beckley Psytech Acquisition was completed and the Company issued an aggregate of 103,823,021 common shares to the Sellers in the form of share consideration or shares underlying replacement awards pursuant to the SPA, reflecting a round down to the nearest whole share at the individual issuance level, which was comprised of 93,580,831 common shares issued directly to the Sellers as share consideration for Beckley Psytech, 8,695,937 RSUs and 1,546,258 stock options issued as replacement awards to the shareholders of Beckley Psytech, certain consultants of Beckley Psytech and certain equity award holders in Beckley Psytech. Additionally, 900,901 common shares were issued to a third party pursuant to the SPA Amendment. Certain RSUs issued as replacement awards were issued net of the exercise price of the Beckley option awards to which they correspond, resulting in the issuance of 6,971,912 RSUs on the Acquisition Date. The shares underlying the options and RSUs issued as replacement awards are subject to a lock-up period whereby approximately 1/12</w:t>
      </w:r>
      <w:r>
        <w:rPr>
          <w:rFonts w:ascii="Times New Roman" w:hAnsi="Times New Roman"/>
          <w:color w:val="000000"/>
          <w:sz w:val="13"/>
        </w:rPr>
        <w:t>th</w:t>
      </w:r>
      <w:r>
        <w:rPr>
          <w:rFonts w:ascii="Times New Roman" w:hAnsi="Times New Roman"/>
          <w:color w:val="000000"/>
          <w:sz w:val="20"/>
        </w:rPr>
        <w:t xml:space="preserve"> of the underlying shares will be released from the lock-up each calendar month beginning January 2026, resulting in all shares underlying the options and RSUs being freely transferable in January 2027. Under the original terms of the agreements for the Beckley Psytech options awards for which the holders received replacement awards, the Beckley Psytech Acquisition represented an exit event that triggered the automatic acceleration of all unvested awards prior to the Acquisition Date, which was recognized in the pre-combination financial results of Beckley Psytech.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Beckley Psytech Acquisition was accounted for as an asset acquisition involving the initial consolidation of a VIE that is not a business for which the Company was determined to be the primary beneficiary on the Acquisition Date. The Beckley Psytech Acquisition was determined to be an asset acquisition because substantially all of the fair value of the gross assets acquired was concentrated in an IPR&amp;D asset, an intangible asset. Accordingly, the Beckley Psytech Acquisition was accounted for under ASC 810 and no goodwill was recognized. Under ASC 810, upon initial consolidation of a VIE the acquirer shall recognize a gain or loss for the difference between the sum of (a) the sum of the fair values of consideration paid (including any contingent consideration) and noncontrolling interests and (b) the reported amounts of any previously held interests; less (c) the fair value of the VIE’s identifiable assets and liabilities. In accordance with ASC 810, a gain of $6.9 million was recognized on the Beckley Psytech Acquisition during the three months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net amount of the VIE’s identifiable assets and liabilities recognized with respect to the Beckley Psytech Acquisition is based upon management’s preliminary estimates of and assumptions related to the fair values of assets acquired and liabilities assumed, using currently available information and subject to the guidance on recognition and measurement in a business combination under ASC 805.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in accordance with ASC 810, the sum of the (i) fair values of consideration paid, and (ii) the reported amount of previously held interests in Beckley Psytech (in thousands). There were no noncontrolling interests in Beckley Psytech upon completion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of the Beckley Psytech Acquisition as the Company acquired all of the outstanding share capital of Beckley Psytech not already owned by the Company. </w:t>
      </w:r>
    </w:p>
    <w:tbl>
      <w:tblPr>
        <w:tblW w:w="10205" w:type="dxa"/>
        <w:jc w:val="left"/>
        <w:tblInd w:w="0" w:type="dxa"/>
        <w:tblLayout w:type="fixed"/>
        <w:tblCellMar>
          <w:top w:w="28" w:type="dxa"/>
          <w:left w:w="28" w:type="dxa"/>
          <w:bottom w:w="28" w:type="dxa"/>
          <w:right w:w="28" w:type="dxa"/>
        </w:tblCellMar>
      </w:tblPr>
      <w:tblGrid>
        <w:gridCol w:w="8581"/>
        <w:gridCol w:w="346"/>
        <w:gridCol w:w="196"/>
        <w:gridCol w:w="691"/>
        <w:gridCol w:w="391"/>
      </w:tblGrid>
      <w:tr>
        <w:trPr/>
        <w:tc>
          <w:tcPr>
            <w:tcW w:w="85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Share consideration issued to the Sellers </w:t>
            </w:r>
            <w:r>
              <w:rPr>
                <w:rFonts w:ascii="Times New Roman" w:hAnsi="Times New Roman"/>
                <w:color w:val="000000"/>
                <w:sz w:val="11"/>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450,476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Settlement of the unsecured promissory note </w:t>
            </w:r>
            <w:r>
              <w:rPr>
                <w:rFonts w:ascii="Times New Roman" w:hAnsi="Times New Roman"/>
                <w:color w:val="000000"/>
                <w:sz w:val="11"/>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Settlement of payable to Beckley Psytech </w:t>
            </w:r>
            <w:r>
              <w:rPr>
                <w:rFonts w:ascii="Times New Roman" w:hAnsi="Times New Roman"/>
                <w:color w:val="000000"/>
                <w:sz w:val="11"/>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8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Estimated fair value of stock options issued as replacement awards </w:t>
            </w:r>
            <w:r>
              <w:rPr>
                <w:rFonts w:ascii="Times New Roman" w:hAnsi="Times New Roman"/>
                <w:color w:val="000000"/>
                <w:sz w:val="11"/>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Incremental fair value of atai restricted stock units issued for consideration at closing that is attributable to the post-combination entity </w:t>
            </w:r>
            <w:r>
              <w:rPr>
                <w:rFonts w:ascii="Times New Roman" w:hAnsi="Times New Roman"/>
                <w:color w:val="000000"/>
                <w:sz w:val="11"/>
              </w:rPr>
              <w:t>(5)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8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 Total fair value of consideration paid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465,645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(ii) Reported value of atai's previously held interest in Beckley Psytech </w:t>
            </w:r>
            <w:r>
              <w:rPr>
                <w:rFonts w:ascii="Times New Roman" w:hAnsi="Times New Roman"/>
                <w:b/>
                <w:color w:val="000000"/>
                <w:sz w:val="11"/>
              </w:rPr>
              <w:t>(6)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8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519,592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Represents the aggregate fair value of 93,580,831 common shares of the Company issued directly to the Sellers as equity consideration and 6,971,912 RSUs issued as replacement awards on the Acquisition Date, based on the closing trading price of the Company’s common share of $4.48 per share on the Acquisition 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Represents the settlement of an unsecured promissory note issued by the Company to Beckley Psytech and related accrued interest of $10.3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Represents the settlement of accounts payable to Beckley Psytech of $0.2 million on the Acquisition Date, as these pre-existing relationships became intercompany and were effectively settled upon completion of the Beckley Psytech Acquisition.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Represents the fair value of 1,546,258 stock options issued as replacement awards on the Acquisition Date. The Company estimated the fair value of the stock options using the Black-Scholes option-pricing model on the Acquisition Date. The assumptions used in the Black-Scholes option pricing model were as follows:</w:t>
      </w:r>
    </w:p>
    <w:tbl>
      <w:tblPr>
        <w:tblW w:w="4828" w:type="dxa"/>
        <w:jc w:val="left"/>
        <w:tblInd w:w="0" w:type="dxa"/>
        <w:tblLayout w:type="fixed"/>
        <w:tblCellMar>
          <w:top w:w="28" w:type="dxa"/>
          <w:left w:w="28" w:type="dxa"/>
          <w:bottom w:w="28" w:type="dxa"/>
          <w:right w:w="28" w:type="dxa"/>
        </w:tblCellMar>
      </w:tblPr>
      <w:tblGrid>
        <w:gridCol w:w="3481"/>
        <w:gridCol w:w="146"/>
        <w:gridCol w:w="120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2.16</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expected stock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89.5%</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3.63% - 3.79%</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Represents the incremental fair value of 6,971,912 restricted stock units issued as replacement awards that is attributable to the post-combination entity.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Represents the reported amount of the Company’s previously held interests in Beckley Psytech, including the carrying value of the Company’s pre-existing investment in Series C Shares of $45.5 million and the carrying value of the Company’s outstanding Series C Warrants of $8.5 million on the Acquisition Date. Refer to Note 6, Investments, for more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presents, in accordance with ASC 810, the net amount of the VIE’s identifiable assets and liabilities recognized and measured in accordance with ASC 805 (in thousands): </w:t>
      </w:r>
    </w:p>
    <w:tbl>
      <w:tblPr>
        <w:tblW w:w="5020" w:type="dxa"/>
        <w:jc w:val="left"/>
        <w:tblInd w:w="0" w:type="dxa"/>
        <w:tblLayout w:type="fixed"/>
        <w:tblCellMar>
          <w:top w:w="28" w:type="dxa"/>
          <w:left w:w="28" w:type="dxa"/>
          <w:bottom w:w="28" w:type="dxa"/>
          <w:right w:w="28" w:type="dxa"/>
        </w:tblCellMar>
      </w:tblPr>
      <w:tblGrid>
        <w:gridCol w:w="3376"/>
        <w:gridCol w:w="346"/>
        <w:gridCol w:w="196"/>
        <w:gridCol w:w="691"/>
        <w:gridCol w:w="411"/>
      </w:tblGrid>
      <w:tr>
        <w:trPr/>
        <w:tc>
          <w:tcPr>
            <w:tcW w:w="3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 acquired and liabilities assumed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Acquired in-process 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assets acquired and liabilities assumed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526,494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accordance with ASC 810, a gain of $6.9 million was recognized on the initial consolidation of Beckley Psytech and was recognized during the three months ended December 31, 2025. The Company incurred transaction costs of $14.3 million in connection with the Beckley Psytech Acquisition for consulting, legal, accounting and other professional fees, which were expensed as incurred as General and administrative expenses for the year ended December 31, 2025.</w:t>
      </w:r>
    </w:p>
    <w:p>
      <w:pPr>
        <w:pStyle w:val="TextBody"/>
        <w:bidi w:val="0"/>
        <w:jc w:val="left"/>
        <w:rPr>
          <w:rFonts w:ascii="Times New Roman" w:hAnsi="Times New Roman"/>
          <w:color w:val="000000"/>
          <w:sz w:val="20"/>
        </w:rPr>
      </w:pPr>
      <w:r>
        <w:rPr>
          <w:rFonts w:ascii="Times New Roman" w:hAnsi="Times New Roman"/>
          <w:color w:val="000000"/>
          <w:sz w:val="20"/>
        </w:rPr>
        <w:t>The fair value of the remaining net assets of Beckley Psytech acquired by the Company approximated their carrying values on the Acquisition Date. The fair value of acquired IPR&amp;D was determined primarily using the income approach, which requires a forecast of all of the expected future cash flows with the following assumptions: net revenue attributable to Beckley Psytech’s IPR&amp;D, operating expenses, and contributory asset charges resulting from applying a terminal growth rate at the end of the discrete period. An estimated discount rate of 17.8</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was applied to the projected cash flows of Beckley Psytech’s IPR&amp;D based on the rate of return used by a similar market participant. Immediately subsequent to the consummation of the Beckley Psytech Acquisition, the acquired IPR&amp;D of $527 million, which was determined to have no alternative future use, was charged to Acquisition of in-process research and development for the three months ended December 31,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Variable Interest Entities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each reporting period, the Company reassesses whether it remains the primary beneficiary for VIE consolidated under the VIE model.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entities consolidated by the Company are comprised of wholly and partially owned entities for which the Company is the primary beneficiary under the VIE model as the Company has (i) the power to direct the activities that most significantly impact the VIE’s economic performance and (ii) the obligation to absorb losses that could potentially be significant to the VIE, or the right to receive benefits from the VIE that could potentially be significant to the VIE. The results of operations of the consolidated entities are included within the Company’s unaudited condensed consolidated financial statements from the date of acquisition to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has accounted for the following consolidated investments as VIEs: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5"/>
        <w:gridCol w:w="146"/>
        <w:gridCol w:w="1265"/>
        <w:gridCol w:w="146"/>
        <w:gridCol w:w="1335"/>
        <w:gridCol w:w="146"/>
        <w:gridCol w:w="1470"/>
        <w:gridCol w:w="146"/>
        <w:gridCol w:w="1055"/>
        <w:gridCol w:w="146"/>
        <w:gridCol w:w="2085"/>
      </w:tblGrid>
      <w:tr>
        <w:trPr/>
        <w:tc>
          <w:tcPr>
            <w:tcW w:w="2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Consolidated Entities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Relationship as of</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Relationship as of</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Control Obtained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Ownership %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 December 31, 2025</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Perception Neuroscience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Controlled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Controlled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59.2%</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Recognify Life Sciences,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Controlled VIE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Controlled VIE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the assets of the consolidated VIEs can only be used to settle the obligations of the respective VIEs. The liabilities of the consolidated VIEs are obligations of the respective VIEs and their creditors have no recourse to the general credit or assets of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Consolidated VIE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assets and liabilities (excluding intercompany balances that were eliminated in consolidation) for all VIEs as of June 30, 2026 (in thousands):</w:t>
      </w:r>
    </w:p>
    <w:p>
      <w:pPr>
        <w:pStyle w:val="TextBody"/>
        <w:bidi w:val="0"/>
        <w:jc w:val="left"/>
        <w:rPr/>
      </w:pPr>
      <w:r>
        <w:rPr/>
        <w:t> </w:t>
      </w:r>
    </w:p>
    <w:tbl>
      <w:tblPr>
        <w:tblW w:w="5927" w:type="dxa"/>
        <w:jc w:val="left"/>
        <w:tblInd w:w="0" w:type="dxa"/>
        <w:tblLayout w:type="fixed"/>
        <w:tblCellMar>
          <w:top w:w="28" w:type="dxa"/>
          <w:left w:w="28" w:type="dxa"/>
          <w:bottom w:w="28" w:type="dxa"/>
          <w:right w:w="28" w:type="dxa"/>
        </w:tblCellMar>
      </w:tblPr>
      <w:tblGrid>
        <w:gridCol w:w="3171"/>
        <w:gridCol w:w="146"/>
        <w:gridCol w:w="245"/>
        <w:gridCol w:w="641"/>
        <w:gridCol w:w="146"/>
        <w:gridCol w:w="146"/>
        <w:gridCol w:w="288"/>
        <w:gridCol w:w="553"/>
        <w:gridCol w:w="59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Recognify</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assets and liabilities (excluding intercompany balances that were eliminated in consolidation) for all consolidated VIEs as of December 31, 2025 (in thousands):</w:t>
      </w:r>
    </w:p>
    <w:p>
      <w:pPr>
        <w:pStyle w:val="TextBody"/>
        <w:bidi w:val="0"/>
        <w:jc w:val="left"/>
        <w:rPr/>
      </w:pPr>
      <w:r>
        <w:rPr/>
        <w:t> </w:t>
      </w:r>
    </w:p>
    <w:tbl>
      <w:tblPr>
        <w:tblW w:w="5927" w:type="dxa"/>
        <w:jc w:val="left"/>
        <w:tblInd w:w="0" w:type="dxa"/>
        <w:tblLayout w:type="fixed"/>
        <w:tblCellMar>
          <w:top w:w="28" w:type="dxa"/>
          <w:left w:w="28" w:type="dxa"/>
          <w:bottom w:w="28" w:type="dxa"/>
          <w:right w:w="28" w:type="dxa"/>
        </w:tblCellMar>
      </w:tblPr>
      <w:tblGrid>
        <w:gridCol w:w="3171"/>
        <w:gridCol w:w="146"/>
        <w:gridCol w:w="303"/>
        <w:gridCol w:w="583"/>
        <w:gridCol w:w="146"/>
        <w:gridCol w:w="146"/>
        <w:gridCol w:w="288"/>
        <w:gridCol w:w="553"/>
        <w:gridCol w:w="59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Recognify</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the nature of its investments in Innoplexus AG (“Innoplexus”) and Amandala and determined that Innoplexus and Amandala are not consolidated VIEs as of the date of the Company’s initial investment through June 30, 2026. The Company is not the primary beneficiary of Innoplexus or Amandala as the Company does not have the power to direct the activities of Innoplexus or Amandala that most significantly impact their respective economic performance. Therefore, the Company concluded that it did not have a controlling financial interest in Innoplexus or Amandala that would require consolidation as of June 30, 2026 or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reevaluate if Innoplexus and Amandala meet the definition of a VIE upon the occurrence of specific reconsideration events. The Company accounted for these investments under the measurement alternative included within ASC 321 (see Note 6, Investments). As of June 30, 2026 and December 31, 2025, the Company did not have any exposure for its investments in Innoplexus and Amandala.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noncontrolling interests related to its consolidated VIEs and provides a roll forward of the noncontrolling interests balance, as follows (in thousands):</w:t>
      </w:r>
    </w:p>
    <w:p>
      <w:pPr>
        <w:pStyle w:val="TextBody"/>
        <w:bidi w:val="0"/>
        <w:jc w:val="left"/>
        <w:rPr/>
      </w:pPr>
      <w:r>
        <w:rPr/>
        <w:t> </w:t>
      </w:r>
    </w:p>
    <w:tbl>
      <w:tblPr>
        <w:tblW w:w="5429" w:type="dxa"/>
        <w:jc w:val="left"/>
        <w:tblInd w:w="0" w:type="dxa"/>
        <w:tblLayout w:type="fixed"/>
        <w:tblCellMar>
          <w:top w:w="28" w:type="dxa"/>
          <w:left w:w="28" w:type="dxa"/>
          <w:bottom w:w="28" w:type="dxa"/>
          <w:right w:w="28" w:type="dxa"/>
        </w:tblCellMar>
      </w:tblPr>
      <w:tblGrid>
        <w:gridCol w:w="4186"/>
        <w:gridCol w:w="146"/>
        <w:gridCol w:w="303"/>
        <w:gridCol w:w="583"/>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Perception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noncontrolling interests - preferred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noncontrolling interests - preferred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684" w:type="dxa"/>
        <w:jc w:val="left"/>
        <w:tblInd w:w="0" w:type="dxa"/>
        <w:tblLayout w:type="fixed"/>
        <w:tblCellMar>
          <w:top w:w="28" w:type="dxa"/>
          <w:left w:w="28" w:type="dxa"/>
          <w:bottom w:w="28" w:type="dxa"/>
          <w:right w:w="28" w:type="dxa"/>
        </w:tblCellMar>
      </w:tblPr>
      <w:tblGrid>
        <w:gridCol w:w="4441"/>
        <w:gridCol w:w="146"/>
        <w:gridCol w:w="303"/>
        <w:gridCol w:w="583"/>
        <w:gridCol w:w="21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Perception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noncontrolling interests - preferred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noncontrolling interests - preferred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current investments held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carrying values of Other current investments held at fair value was $34.0 million, and $35.4 million, respectively, and entirely related to the Company’s investment in Compass Pathways plc (“COMPASS”).</w:t>
      </w:r>
    </w:p>
    <w:p>
      <w:pPr>
        <w:pStyle w:val="TextBody"/>
        <w:bidi w:val="0"/>
        <w:spacing w:before="120" w:after="283"/>
        <w:jc w:val="left"/>
        <w:rPr>
          <w:rFonts w:ascii="Times New Roman" w:hAnsi="Times New Roman"/>
          <w:sz w:val="20"/>
        </w:rPr>
      </w:pPr>
      <w:r>
        <w:rPr>
          <w:rFonts w:ascii="Times New Roman" w:hAnsi="Times New Roman"/>
          <w:b/>
          <w:i/>
          <w:color w:val="000000"/>
          <w:sz w:val="20"/>
        </w:rPr>
        <w:t>COMPASS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COMPASS is a biotechnology company dedicated to accelerating patient access to evidence-based innovation in mental health. The Company is developing its investigational COMP360 psilocybin treatment through late-stage clinical trials in Europe and North America for patients with treatment-resistant depression. The Company accounts for its COMPASS investment under ASC 321 at fair value. Any changes in fair value of the Company's investment in COMPASS are recognized as a Change in fair value of assets and liabilities, net in its unaudited condensed consolidated statements of operations. </w:t>
      </w:r>
    </w:p>
    <w:p>
      <w:pPr>
        <w:pStyle w:val="TextBody"/>
        <w:bidi w:val="0"/>
        <w:spacing w:before="120" w:after="283"/>
        <w:jc w:val="left"/>
        <w:rPr>
          <w:rFonts w:ascii="Times New Roman" w:hAnsi="Times New Roman"/>
          <w:sz w:val="20"/>
        </w:rPr>
      </w:pPr>
      <w:r>
        <w:rPr>
          <w:rFonts w:ascii="Times New Roman" w:hAnsi="Times New Roman"/>
          <w:color w:val="000000"/>
          <w:sz w:val="20"/>
        </w:rPr>
        <w:t>During the six months ended June 30, 2026 and 2025, the Company sold 2,728,801 and 900,000</w:t>
      </w:r>
      <w:r>
        <w:rPr>
          <w:rFonts w:ascii="Times New Roman" w:hAnsi="Times New Roman"/>
          <w:color w:val="FF0000"/>
          <w:sz w:val="20"/>
        </w:rPr>
        <w:t xml:space="preserve"> </w:t>
      </w:r>
      <w:r>
        <w:rPr>
          <w:rFonts w:ascii="Times New Roman" w:hAnsi="Times New Roman"/>
          <w:color w:val="000000"/>
          <w:sz w:val="20"/>
        </w:rPr>
        <w:t>American Depositary shares (“ADS”) of COMPASS at an average price of $8.97</w:t>
      </w:r>
      <w:r>
        <w:rPr>
          <w:rFonts w:ascii="Times New Roman" w:hAnsi="Times New Roman"/>
          <w:color w:val="FF0000"/>
          <w:sz w:val="20"/>
        </w:rPr>
        <w:t xml:space="preserve"> </w:t>
      </w:r>
      <w:r>
        <w:rPr>
          <w:rFonts w:ascii="Times New Roman" w:hAnsi="Times New Roman"/>
          <w:color w:val="000000"/>
          <w:sz w:val="20"/>
        </w:rPr>
        <w:t xml:space="preserve">and $4.28 per ADS, respectively, in open market transactions. For the six months ended June 30, 2026 and 2025, the sale of COMPASS ADS resulted in net proceeds received of $23.6 million and $3.8 million, respectively. The Company recorded the sale of the ADS shares as a reduction in its COMPASS investment under ASC 321. For the three months ended June 30, 2026 and 2025, the Company recognized an immaterial amount of commission expense related to the sale, which is recognized as General and administrative expense in its unaudited condensed consolidated statement of operations. For the six months ended June 30, 2026 and 2025, the Company recognized $0.1 million and an immaterial amount, respectively, of commission expense related to the sale, which is recognized as a General and administrative expense in its unaudited condensed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quoted market prices, the market value of the Company’s remaining ownership in COMPASS was $34.0 million and $35.4 million as of June 30, 2026 and December 31, 2025, respectively. For the three months ended June 30, 2026 and 2025, the Company recognized a change in fair value of its COMPASS holdings of a $27.2 million gain and a $0.9 million gain, respectively, which is recognized in Change in fair value of assets and liabilities, net in its unaudited condensed consolidated statements of operations. For the six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months ended June 30, 2026 and 2025 the Company recognized a change in fair value of its COMPASS holdings of a $22.2 million gain and a $5.4 million loss,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IntelGenx Technologies Corp.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previously held investments with IntelGenx Technologies Corp. (“IntelGenx”), which was the parent company of Nualtis Corp. (formerly known as “IntelGenx Corp.”) that the Company acquired in October 2024. The Company’s investments consisted of common shares, various warrants issued in 2023 and 2024 (collectively referred to as the “Warrants”), and Call Option Units, all of which are measured at fair value. The Company’s holding in IntelGenx common shares, Warrants, and Call Option Units was written down to zero in 2024 and prior periods as IntelGenx entered into bankruptcy proceedings. The bankruptcy proceedings have concluded and IntelGenx has been dissolved. The Company no longer holds the aforementioned equity investments with IntelGenx and did not recognize any change in fair value for the three and six months ended June 30, 2026 and 2025. For more information regarding the Company's investment in IntelGenx equity securities, refer to Notes 6, Investments, and Note 7, Notes Receivable, in the Company's audited consolidated financial statements included in the Company’s Annual Report on Form 10-K filed with the SEC on March 6, 2026.</w:t>
      </w:r>
    </w:p>
    <w:p>
      <w:pPr>
        <w:pStyle w:val="TextBody"/>
        <w:bidi w:val="0"/>
        <w:spacing w:before="120" w:after="283"/>
        <w:jc w:val="left"/>
        <w:rPr>
          <w:rFonts w:ascii="Times New Roman" w:hAnsi="Times New Roman"/>
          <w:sz w:val="20"/>
        </w:rPr>
      </w:pPr>
      <w:r>
        <w:rPr>
          <w:rFonts w:ascii="Times New Roman" w:hAnsi="Times New Roman"/>
          <w:b/>
          <w:color w:val="000000"/>
          <w:sz w:val="20"/>
        </w:rPr>
        <w:t>Other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investments in the preferred stock of Beckley Psytech, prior to the Company’s acquisition of Beckley Psytech in November 2025, GABA Therapeutics, Inc. (“GABA”), and Innoplexus are not considered as in-substance common stock due to the existence of substantial liquidation preferences, and, therefore, did not have subordination characteristics that were substantially similar to common stock. Accordingly, these investments do not fall under the guidance in ASC 323, and the Company records these investments under the measurement alternative method pursuant to ASC 321 as these investments do not have readily determinable fair values.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holds a 33.7% common stock investment in Amandala but does not have the ability to exercise significant influence over Amandala’s operating and financial policy as the Company does not have board representation and has contractually agreed to voting restrictions. Accordingly, the Company determined that its investment in Amandala common stock does not fall under the guidance on ASC 323 and the Company records its investment under the measurement alternative method pursuant to ASC 321 as this investment does not have readily determinable fair values.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the year ended December 31, 2025, and prior to the Company’s Acquisition of Beckley Psytech in November 2025, the Company evaluated all of its Other investments to determine if certain events or changes in circumstance had a significant adverse effect on the fair value of any of its investments in non-consolidated entities. Based on this analysis, the Company did not note any impairment indicators associated with the Company’s Other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during the six months ended June 30, 2026, the year ended December 31, 2025, and prior to the Company’s Acquisition of Beckley Psytech in November 2025, there were no observable changes in price recorded related to the Company’s Other investments. </w:t>
      </w:r>
    </w:p>
    <w:p>
      <w:pPr>
        <w:pStyle w:val="TextBody"/>
        <w:bidi w:val="0"/>
        <w:spacing w:before="120" w:after="283"/>
        <w:jc w:val="left"/>
        <w:rPr>
          <w:rFonts w:ascii="Times New Roman" w:hAnsi="Times New Roman"/>
          <w:sz w:val="20"/>
        </w:rPr>
      </w:pPr>
      <w:r>
        <w:rPr>
          <w:rFonts w:ascii="Times New Roman" w:hAnsi="Times New Roman"/>
          <w:color w:val="000000"/>
          <w:sz w:val="20"/>
        </w:rPr>
        <w:t>As of June 30, 2026</w:t>
      </w:r>
      <w:r>
        <w:rPr>
          <w:rFonts w:ascii="Times New Roman" w:hAnsi="Times New Roman"/>
          <w:color w:val="FF0000"/>
          <w:sz w:val="20"/>
        </w:rPr>
        <w:t xml:space="preserve"> </w:t>
      </w:r>
      <w:r>
        <w:rPr>
          <w:rFonts w:ascii="Times New Roman" w:hAnsi="Times New Roman"/>
          <w:color w:val="000000"/>
          <w:sz w:val="20"/>
        </w:rPr>
        <w:t xml:space="preserve">and December 31, 2025, the Company did not recognize any carrying value for its investments in GABA, Innoplexus, and Amandala.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Beckley Psytech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Beckley Psytech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4, Acquisitions, the Company acquired all outstanding shares of Beckley Psytech in November 2025. On the Acquisition Date, the Company derecognized its carrying amount of $53.9 million under Other investments in its consolidated balance sheet related to the Initial Shares, Deferred Shares, Secondary Shares, and certain warrants as Beckley Psytech is a consolidated entity after the completion of the transaction. Further, as part of the SPA, the Company no longer has rights to receive the Additional Warrants as of the Acquisition Date. The Company’s investment in Beckley Psytech prior to the acquisition is described below.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Subscription and shareholders'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 2024, the Company entered into a subscription and shareholders’ agreement (“SSA”) with Beckley Psytech and other shareholders, providing for a $50.0 million investment. The investment consists of (i) a $40.0 million primary subscription for 24,096,385 newly issued Series C preferred shares and (ii) a $10.0 million secondary purchase of 11,153,246 shares from existing shareholders, re-designated as Series C shares. In connection with the SSA, the Company received 24,096,385 warrants to purchase Series C shares at $2.158 per share, subject certain ownership limitations (“Series C Warrants”). Also, under the SSA, prior to the Acquisition Date, the Company had the right to receive additional warrants to purchase Series C Shares in the event Beckley Psytech issued equity or equity linked securities pursuant to a deferred equity arrangement in connection with a prior acquisition made by Beckley Psytech, with each such warrant exercisable at an exercise price of $1.66 per share (“Additional Warrants”).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Initial Subscription and Deferred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 2024, the Company purchased 15,060,241 Series C shares for $25.0 million at $1.66 per share and delivered the executed deferred payment escrow agreement ("Escrow Agreement") to Beckley Psytech, which was a condition for the closing or completion of the transaction (“Initial Subscription”). On January 5, 2024, the Company deposited $15.0 million into escrow. Beckley Psytech was required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credit as fully-paid such corresponding number of Series C Shares as corresponds with the value of each draw-down. The total number of deferred payment shares (“Deferred Shares”) was 9,036,144 with a share price of $1.66.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and April 2025, pursuant to the terms of the Escrow Agreement, Beckley Psytech, at its sole discretion, drew $5.0 million and $10.0 million, respectively, from the escrow account and the Company was credited 3,012,048 and 6,024,096 Series C shares, respectively. The Company determined the fair value of the October 2024 and April 2025 escrow draws were $5.3 million and $11.9 million, respectively, and recognized the fair value of the shares received in Other investments prior to the Beckley Psytech Acquisition. For the three and six months ended June 30, 2025, the Company recognized a gain of $3.8 million related to $10.0 million escrow draw in April 2025, which is recognized as Gain on other investments in the unaudited condensed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Secondary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18, 2024, the Company and Beckley Psytech entered into the Secondary Sale SPA pursuant to which the Company agreed to purchase 11,153,246 re-designated Series C shares (the “Secondary Sale Shares”) at a price of $0.8966 per share from the existing shareholders for an aggregate consideration of $10.0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qualified for and elected to account for the investment acquired per the SSA using the measurement alternative under ASC 321, and is included in Other investments in the consolidated balance sheets. The Company applied a calibrated model for the $35.3 million investment, to account for the Initial Shares, option to purchase the Deferred Shares, Secondary Shares, and Series C Warrants, on a relative fair value basis resulting in no initial gain or loss recognized in the consolidated statements of operations. </w:t>
      </w:r>
    </w:p>
    <w:p>
      <w:pPr>
        <w:pStyle w:val="TextBody"/>
        <w:bidi w:val="0"/>
        <w:spacing w:before="120" w:after="283"/>
        <w:jc w:val="left"/>
        <w:rPr>
          <w:rFonts w:ascii="Times New Roman" w:hAnsi="Times New Roman"/>
          <w:sz w:val="20"/>
        </w:rPr>
      </w:pPr>
      <w:r>
        <w:rPr>
          <w:rFonts w:ascii="Times New Roman" w:hAnsi="Times New Roman"/>
          <w:i/>
          <w:color w:val="000000"/>
          <w:sz w:val="20"/>
        </w:rPr>
        <w:t>Additional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acquisition of Beckley Psytech, the Company determined that the Additional Warrants meet the definition of a derivative instrument under ASC 815 and recorded the Additional Warrants at fair value with subsequent changes in fair value being reflected through the consolidated statements of operations as a Change in fair value of assets and liabilities,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Beckley Psytech issued equity pursuant to the deferred equity arrangement, and, per the SSA, the Company received 4,393,400 warrants. The Company determined that once it received the Additional Warrants, they no longer meet the definition of a derivative instrument under ASC 815, and elected to account for the warrants under ASC 321 and recognized the Additional Warrants Received as Other investment in its consolidated balance sheets. At the time of receipt, the warrants had a fair value of $1.5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Beckley Psytech Acquisition, the Additional Warrants no longer exist as of the Acquisition Date given Beckley Psytech is now a wholly owned subsidiary. For the three and six months ended June 30, 2025 the Company recognized a $3.3 million loss and $2.8 million loss, respectively, in the Change in fair value of assets and liabilities, net in its unaudited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GABA Therapeutics,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GABA is a California based biotechnology company focused on developing GRX-917 for the treatment of anxiety, depression, and a broad range of other neurological disorders. The Company is deemed to have significant influence over GABA through its total ownership interest in GABA’s equity, including the Company’s investment in GABA’s common and preferred stock, and the Company’s noncontrolling representation on GABA’s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investment in GABA’s common stock was accounted for in accordance with the equity method, and the carrying value of the investment in GABA common stock was reduced to zero as of December 31, 2020 due to IPR&amp;D charges with no alternative future use and remained zero as of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 in GABA’s preferred stock did not meet the criteria for in-substance common stock. As such, the investment in GABA’s preferred stock is accounted for under the measurement alternative pursuant to ASC 321.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Company's remaining obligation to purchase additional shares of Series A preferred stock from GABA is for up to $0.9 million at the same price per share as its initial investment upon the achievement of specified contingent milestones. As of June 30, 2026, the contingent milestones have not been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GABA’s net losses attributable to the Company were determined based on the Company’s ownership percentage of preferred stock in GABA and recorded to the Company’s investments in GABA preferred stock. As of June 30, 2026 and December 31, 2025, the Company did not recognize any carrying value for its investments in GABA.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Innoplexus AG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Innoplexus is a technology company that provides “Data as a Service” and “Continuous Analytics as a Service” solutions that aims to help healthcare organizations leverage their technologies and expedite the drug development process across all stages—preclinical, clinical, regulatory, and commercial. The Company first acquired investments in Innoplexus in August 2018 with an additional investment in December 2020.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significant influence over Innoplexus through its noncontrolling representation on the investee’s board. Accordingly, the Company’s investment in Innoplexus’ common stock was accounted for in accordance with the equity method. The Company’s investment in Innoplexus’ preferred stock did not meet the criteria for in-substance common stock. As such, the investment in Innoplexus’ preferred stock was accounted for under the measurement alternative under ASC 321. As of June 30, 2026 and December 31, 2025, the Company did not recognize any carrying value for its investments in Innoplexus.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2021, the Company entered into a Share Purchase and Assignment Agreement (the “Innoplexus SPA”) to sell its shares of common and preferred stock held in Innoplexus to a current investor of Innoplexus (the “Purchaser”) in exchange for an initial purchase price of approximately $2.4 million. In addition, the Company is entitled to receive contingent payments based on the occurrence of subsequent equity transactions or liquidity events at Innoplexus as determined under the Innoplexus SPA.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Pursuant to the Innoplexus SPA, the Purchaser is required to hold a minimum number of shares equivalent to the number of shares purchased from the Company through December 31, 2026. In the event that the Purchaser is in breach of this requirement, the Purchaser is required to pay the Company an additional purchase price of approximately $9.6 million. The transaction was accounted for as a secured financing as it did not qualify for sale accounting under ASC Topic 860: </w:t>
      </w:r>
      <w:r>
        <w:rPr>
          <w:rFonts w:ascii="Times New Roman" w:hAnsi="Times New Roman"/>
          <w:i/>
          <w:color w:val="000000"/>
          <w:sz w:val="20"/>
        </w:rPr>
        <w:t>Transfers and Servicing</w:t>
      </w:r>
      <w:r>
        <w:rPr>
          <w:rFonts w:ascii="Times New Roman" w:hAnsi="Times New Roman"/>
          <w:color w:val="000000"/>
          <w:sz w:val="20"/>
        </w:rPr>
        <w:t xml:space="preserve"> (“ASC 860”), due to the provision under the Innoplexus SPA which constrained the Purchaser from its right to pledge or exchange the underlying shares and provided more than a trivial benefit to the Company. The initial proceeds from the transaction are reflected as a secured borrowing liability of $2.4 million and $2.5 million as of June 30, 2026 and December 31, 2025, respectively, which is included in Other current liabilities in the Company’s unaudited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Innoplexus SPA also provides the right for the Company to receive additional consideration with a maximum payment outcome of $22.3 million should the equity value of Innoplexus exceed certain thresholds upon the occurrence of certain events. The Company concluded that this feature met the definition of a derivative which required bifurcation. As the probability of the occurrence of certain events defined in the Innoplexus SPA was less than remote, the Company concluded that the fair value of the embedded derivative ascribed to this feature was de minimis as of June 30, 2026.</w:t>
      </w:r>
    </w:p>
    <w:p>
      <w:pPr>
        <w:pStyle w:val="TextBody"/>
        <w:bidi w:val="0"/>
        <w:spacing w:before="120" w:after="283"/>
        <w:jc w:val="left"/>
        <w:rPr>
          <w:rFonts w:ascii="Times New Roman" w:hAnsi="Times New Roman"/>
          <w:sz w:val="20"/>
        </w:rPr>
      </w:pPr>
      <w:r>
        <w:rPr>
          <w:rFonts w:ascii="Times New Roman" w:hAnsi="Times New Roman"/>
          <w:b/>
          <w:i/>
          <w:color w:val="000000"/>
          <w:sz w:val="20"/>
        </w:rPr>
        <w:t>Amandala Neuro Limited</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Amandala was previously a wholly owned subsidiary of Beckley Psytech and operated Beckley Psytech’s ELE-101 program, a novel intravenous formulation of psilocin, the active metabolite of psilocybin, that is being developed to address certain neuropsychiatric disorders such as treatment resistant depression and major depressive disorder. </w:t>
      </w:r>
    </w:p>
    <w:p>
      <w:pPr>
        <w:pStyle w:val="TextBody"/>
        <w:bidi w:val="0"/>
        <w:jc w:val="both"/>
        <w:rPr>
          <w:rFonts w:ascii="Times New Roman" w:hAnsi="Times New Roman"/>
          <w:color w:val="000000"/>
          <w:sz w:val="20"/>
        </w:rPr>
      </w:pPr>
      <w:r>
        <w:rPr>
          <w:rFonts w:ascii="Times New Roman" w:hAnsi="Times New Roman"/>
          <w:color w:val="000000"/>
          <w:sz w:val="20"/>
        </w:rPr>
        <w:t xml:space="preserve">In October 2025, prior to the Company’s acquisition of Beckley Psytech and pursuant to the terms of the SPA, Beckley Psytech distributed the equity ownership of Amandala as a dividend in specie pro rata among existing Beckley Psytech shareholders based on their current ownership stakes in Beckley Psytech. In October 2025, Beckley Psytech distributed 297,653,598 ordinary shares of Amandala to its shareholders, and the Company received 100,208,918 ordinary shares, which is equivalent to approximately 33.7% of the total shares distributed.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it does not have the ability to exercise significant influence over Amandala’s operating and financial policy, and, therefore, accounted for its investment in Amandala using the measurement alternative under ASC 321. As there is no cost basis for the dividend in specie, the Company recognized the fair value of the Amandala common stock upon receipt, which was zero as of the date of receipt. As of June 30, 2026 and December 31, 2025, the Company did not recognize any carrying value for its investments in Amandala.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Summarized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financial data for investments accounted for under the equity method of accounting (in thousands):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Balance Sheets</w:t>
      </w:r>
    </w:p>
    <w:p>
      <w:pPr>
        <w:pStyle w:val="TextBody"/>
        <w:bidi w:val="0"/>
        <w:jc w:val="left"/>
        <w:rPr/>
      </w:pPr>
      <w:r>
        <w:rPr/>
        <w:t> </w:t>
      </w:r>
    </w:p>
    <w:tbl>
      <w:tblPr>
        <w:tblW w:w="4884" w:type="dxa"/>
        <w:jc w:val="left"/>
        <w:tblInd w:w="0" w:type="dxa"/>
        <w:tblLayout w:type="fixed"/>
        <w:tblCellMar>
          <w:top w:w="28" w:type="dxa"/>
          <w:left w:w="28" w:type="dxa"/>
          <w:bottom w:w="28" w:type="dxa"/>
          <w:right w:w="28" w:type="dxa"/>
        </w:tblCellMar>
      </w:tblPr>
      <w:tblGrid>
        <w:gridCol w:w="1576"/>
        <w:gridCol w:w="312"/>
        <w:gridCol w:w="813"/>
        <w:gridCol w:w="146"/>
        <w:gridCol w:w="146"/>
        <w:gridCol w:w="414"/>
        <w:gridCol w:w="1086"/>
        <w:gridCol w:w="391"/>
      </w:tblGrid>
      <w:tr>
        <w:trPr/>
        <w:tc>
          <w:tcPr>
            <w:tcW w:w="157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assets</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assets</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liabilities</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liabilities</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Statements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1"/>
        <w:gridCol w:w="146"/>
        <w:gridCol w:w="566"/>
        <w:gridCol w:w="1261"/>
        <w:gridCol w:w="166"/>
        <w:gridCol w:w="146"/>
        <w:gridCol w:w="625"/>
        <w:gridCol w:w="1202"/>
        <w:gridCol w:w="146"/>
        <w:gridCol w:w="146"/>
        <w:gridCol w:w="540"/>
        <w:gridCol w:w="1202"/>
        <w:gridCol w:w="166"/>
        <w:gridCol w:w="146"/>
        <w:gridCol w:w="629"/>
        <w:gridCol w:w="1113"/>
        <w:gridCol w:w="214"/>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7. Notes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IntelGenx Technologies Corp.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Company's acquisition of Nualtis in October 2024, the Company had outstanding loan agreements and convertible notes with IntelGenx, which are measured at fair value as the Company had qualified for and elected the fair value option. The Company discharged its secured debt it held with IntelGenx, which included the debtor-in-possession financing and the certain term loan, in consideration of its acquisition of Nualtis. In addition to the aforementioned secure debt, the Company held unsecured debt, which included the 2023 Initial Notes, the 2023 Subsequent Notes, and the IntelGenx 2023 Term Loan Note with IntelGenx (collectively the “IntelGenx Unsecured Debt”). The Company’s holding in the IntelGenx Unsecured Debt was written down to zero in 2024 as IntelGenx entered into bankruptcy proceedings. The bankruptcy proceedings have concluded and IntelGenx has been dissolved, resulting in the IntelGenx Unsecured Debt being discharged. The Company no longer holds the IntelGenx Unsecured Debt and did not recognize any change in fair value for the three and six months ended June 30, 2026 and 2025. For more information regarding the Company's investment in IntelGenx debt securities, refer to Notes 6, Investments, and Note 7, Notes Receivable, in the Company's audited consolidated financial statements included in the Company’s Annual Report on Form 10-K filed with the SEC on March 6,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Amandala Neuro Limited Notes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acquisition and consolidation of Beckley Psytech in November 2025, the Company recognized $1.5 million of loans receivable Beckley Psytech holds from Amandala (the “Amandala Notes Receivable”). The Amandala Notes Receivable are non-interest bearing and are recognized at costs net of expected credit losses with $0.6 million recognized as Prepaid expenses and other current assets and $0.9 million recognized as Other assets within the consolidated balance sheet as of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the Company recognized a $0.1 million and $0.2 million reversal of a previous expected credit loss related to the Amandala Notes Receivable. The Company recognized the reversal of the expected credit loss as Other income, net in the unaudited condensed consolidated statement of operations. The Company did not recognize any reversal of credit losses or gains for the three and six months ended June 30, 2025 in the unaudited condensed consolidated statement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 June 2026, Beckley Psytech received a cash payment of $0.7 million from Amandala, which was recognized as a reduction to outstanding balance of Amandala Notes Receivable recognized as a Prepaid and other current asset within the unaudited condensed consolidated balance sheets. As of June 30, 2026, the carrying amount of the Amandala Notes Receivable is $1.0 million, with $0.1 million recognized as Prepaid expenses and other current assets and $0.9 million recognized as Other assets within the unaudited condensed consolidated balance sheet.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the Company’s financial assets and liabilities that are measured at fair value on a recurring basis and indicates the fair value hierarchy of the valuation (in thousands):</w:t>
      </w:r>
    </w:p>
    <w:p>
      <w:pPr>
        <w:pStyle w:val="TextBody"/>
        <w:bidi w:val="0"/>
        <w:jc w:val="left"/>
        <w:rPr/>
      </w:pPr>
      <w:r>
        <w:rPr/>
        <w:t> </w:t>
      </w:r>
    </w:p>
    <w:tbl>
      <w:tblPr>
        <w:tblW w:w="9397" w:type="dxa"/>
        <w:jc w:val="left"/>
        <w:tblInd w:w="0" w:type="dxa"/>
        <w:tblLayout w:type="fixed"/>
        <w:tblCellMar>
          <w:top w:w="28" w:type="dxa"/>
          <w:left w:w="28" w:type="dxa"/>
          <w:bottom w:w="28" w:type="dxa"/>
          <w:right w:w="28" w:type="dxa"/>
        </w:tblCellMar>
      </w:tblPr>
      <w:tblGrid>
        <w:gridCol w:w="4281"/>
        <w:gridCol w:w="146"/>
        <w:gridCol w:w="211"/>
        <w:gridCol w:w="781"/>
        <w:gridCol w:w="146"/>
        <w:gridCol w:w="146"/>
        <w:gridCol w:w="211"/>
        <w:gridCol w:w="676"/>
        <w:gridCol w:w="146"/>
        <w:gridCol w:w="146"/>
        <w:gridCol w:w="211"/>
        <w:gridCol w:w="421"/>
        <w:gridCol w:w="146"/>
        <w:gridCol w:w="146"/>
        <w:gridCol w:w="211"/>
        <w:gridCol w:w="781"/>
        <w:gridCol w:w="591"/>
      </w:tblGrid>
      <w:tr>
        <w:trPr/>
        <w:tc>
          <w:tcPr>
            <w:tcW w:w="4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securities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investments held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Pre-funded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502" w:type="dxa"/>
        <w:jc w:val="left"/>
        <w:tblInd w:w="0" w:type="dxa"/>
        <w:tblLayout w:type="fixed"/>
        <w:tblCellMar>
          <w:top w:w="28" w:type="dxa"/>
          <w:left w:w="28" w:type="dxa"/>
          <w:bottom w:w="28" w:type="dxa"/>
          <w:right w:w="28" w:type="dxa"/>
        </w:tblCellMar>
      </w:tblPr>
      <w:tblGrid>
        <w:gridCol w:w="4281"/>
        <w:gridCol w:w="146"/>
        <w:gridCol w:w="211"/>
        <w:gridCol w:w="781"/>
        <w:gridCol w:w="146"/>
        <w:gridCol w:w="146"/>
        <w:gridCol w:w="211"/>
        <w:gridCol w:w="781"/>
        <w:gridCol w:w="146"/>
        <w:gridCol w:w="146"/>
        <w:gridCol w:w="211"/>
        <w:gridCol w:w="421"/>
        <w:gridCol w:w="146"/>
        <w:gridCol w:w="146"/>
        <w:gridCol w:w="211"/>
        <w:gridCol w:w="781"/>
        <w:gridCol w:w="591"/>
      </w:tblGrid>
      <w:tr>
        <w:trPr/>
        <w:tc>
          <w:tcPr>
            <w:tcW w:w="4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securities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investments held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Pre-funded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Investment in securities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the fair value option for the securities in its investment portfolio. The fair value is based on quoted market prices, when available. When a quoted market price is not readily available, the Company uses the market price from its last sale of similar assets. The cash and cash equivalents held by the Company are categorized as Level 1 investments as quoted market prices are readily available for these investments. All other investments in the investment portfolio are categorized as Level 2 investments as inputs utilized to fair value these securities are either directly or indirectly observable, such as the market price from the last sale of similar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unrealized gains and losses on the available-for-sale securities, represented by change in the fair value of the investment portfolio, is reported in earnings. Since the investment in the available-for-sale securities are already measured at fair value, no separate credit losses would be recorded in the financials.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and 2025, the Company recognized a $1.6 million gain and $0.6 million gain, respectively, related to the change in fair value in its available for sale securities recognized as a Change in fair value of assets and liabilities, net in its unaudited condensed consolidated statements of operations. For the six months ended June 30, 2026 and 2025, the Company recognized a $3.2 million and $1.1 million gain, respectively, related to the change in fair value in its available for sale securities recognized as a Change in fair value of assets and liabilities, net in its unaudited 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current investments held at fair value</w:t>
      </w:r>
    </w:p>
    <w:p>
      <w:pPr>
        <w:pStyle w:val="TextBody"/>
        <w:bidi w:val="0"/>
        <w:spacing w:before="120" w:after="283"/>
        <w:jc w:val="left"/>
        <w:rPr>
          <w:rFonts w:ascii="Times New Roman" w:hAnsi="Times New Roman"/>
          <w:sz w:val="20"/>
        </w:rPr>
      </w:pPr>
      <w:r>
        <w:rPr>
          <w:rFonts w:ascii="Times New Roman" w:hAnsi="Times New Roman"/>
          <w:i/>
          <w:color w:val="000000"/>
          <w:sz w:val="20"/>
        </w:rPr>
        <w:t>COMPASS Pathways plc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the fair value of its COMPASS investment by taking the publicly available share price as of the balance sheet date multiplied by the number of shares the Company holds. The Company’s investment in COMPASS is categorized as a Level 1 investment as quoted market prices are readily available for this investment and there are no non-observable inputs in determining the fair value. For the three months ended June 30, 2026 and 2025, the Company recognized a change in fair value of its COMPASS holdings of a $27.2 million gain and $0.9 million gain, respectively, which is recognized in Change in fair value of assets and liabilities, net in its unaudited condensed consolidated statements of operations. For the six months ended June 30, 2026 and 2025, the Company recognized a change in fair value of its COMPASS holdings of a $22.2 million gain and a $5.4 million loss, respectively, which is recognized in Change in fair value of assets and liabilities, net in its unaudited condensed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Beckley Psytech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6, Investments, and prior to the acquisition of Beckley Psytech, the Company determined that the Additional Warrants meet the definition of a derivative instrument under ASC 815 and recorded the Additional Warrants at fair value with subsequent changes in fair value being reflected through the unaudited condensed consolidated statements of operations in the Change in fair value of assets and liabilities, net. At the Acquisition Date, Beckley Psytech became a wholly owned subsidiary and the Additional Warrants no longer exist. For the three and six months ended June 30, 2025, the Company recognized a $3.3 million loss and $2.8 million loss, respectively, in the Change in fair value of assets and liabilities, net in its unaudited condensed consolidated statements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Digital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ASC 350-60, the Company’s digital assets are measured at fair value based on quoted prices on active exchanges, and are therefore categorized as Level 1 investments in the fair value hierarchy. The Company recognizes changes in the fair value of its digital assets as gains or losses in Change in fair value of digital assets on the Company's unaudited condensed consolidated statements of operations during the period in which they occur.</w:t>
      </w:r>
    </w:p>
    <w:p>
      <w:pPr>
        <w:pStyle w:val="TextBody"/>
        <w:bidi w:val="0"/>
        <w:spacing w:before="120" w:after="283"/>
        <w:jc w:val="left"/>
        <w:rPr>
          <w:rFonts w:ascii="Times New Roman" w:hAnsi="Times New Roman"/>
          <w:sz w:val="20"/>
        </w:rPr>
      </w:pPr>
      <w:r>
        <w:rPr>
          <w:rFonts w:ascii="Times New Roman" w:hAnsi="Times New Roman"/>
          <w:color w:val="000000"/>
          <w:sz w:val="20"/>
        </w:rPr>
        <w:t>For the three months ended June 30, 2026 and 2025,</w:t>
      </w:r>
      <w:r>
        <w:rPr>
          <w:rFonts w:ascii="Times New Roman" w:hAnsi="Times New Roman"/>
          <w:color w:val="FF0000"/>
          <w:sz w:val="20"/>
        </w:rPr>
        <w:t xml:space="preserve"> </w:t>
      </w:r>
      <w:r>
        <w:rPr>
          <w:rFonts w:ascii="Times New Roman" w:hAnsi="Times New Roman"/>
          <w:color w:val="000000"/>
          <w:sz w:val="20"/>
        </w:rPr>
        <w:t>the Company recognized a $0.9 million loss and a $1.4 million gain, respectively, related to the change in fair value in its Bitcoin holding, which is recognized as a Change in fair value of digital assets, net in its unaudited condensed consolidated statements of operations. For the six months ended June 30, 2026 and 2025, the Company recognized a $2.9 million loss and $1.2 million gain, respectively, related to the change in fair value in its Bitcoin holding, which is recognized as a Change in fair value of digital assets, net in its unaudited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in Note 14, Debt, the Company previously issued certain convertible notes that were converted to common shares of the Company pursuant to a conversion feature in September 2025. Prior to conversion, the Company measured the conversion option at fair value on a quarterly basis as well as immediately prior to conversion with any changes in the fair value recognized as Change in fair value of assets and liabilities, net in the unaudited condensed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Immediately prior to conversion, the conversion option fair value was estimated utilizing the Company’s stock price on the date of conversion. Prior to conversion, the fair value of the conversion option was estimated utilizing the Black-Scholes option pricing model and was classified as Level 3 in the fair value hierarchy based on the nature of the inputs and valuation techniques. The Black-Scholes option pricing model was based on the estimated market value of the underlying common stock at the valuation measurement date, the remaining contractual term of the conversion feature, risk-free interest rates, expected dividends, and expected volatility of the price of the underlying common stock. The expected volatility was based upon the historical volatility of daily lognormal returns on the Company’s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the Company recorded a $3.1 million loss and a $3.2 million loss, respectively, as a result of the change in fair value of the New Convertible Notes.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Contingent consideration liability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contingent consideration liability - related party in the fair value measurement table above relates to milestone and royalty payments in connection with the acquisition of Perception Neuroscience Holdings, Inc. (“Perception”) in 2018. The fair value of the contingent consideration liabilities—related parties was determined based on significant inputs not observable in the market, which represent Level 3 measurements within the fair value hierarchy. The fair value of the contingent milestone and royalty liabilities was estimated based on the discounted cash flow valuation technique. The technique considered the following unobservable inputs: the probability and timing of achieving the specified milestones and royalties as of each valuation date, the probability of executing the license agreement, the expected first year of revenue, and market-based discount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Perception contingent milestone and royalty liabilities could change in future periods depending on prospects for the outcome of R-Ketamine milestone meetings with the FDA or other regulatory authorities, and whether the Company realizes a significant increase or decrease in sales upon commercialization.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significant assumptions in the discounted cash flow valuation technique that impacts the fair value of the milestone contingent consideration are the projected milestone timing and the probability of the milestone being met. Further, significant assumptions in the discounted cash flow that impacts the fair value of the royalty contingent consideration are the projected revenue over ten years, the timing of royalties on commercial revenue, and the probability of success rate for a commercial R-Ketamine product. As of December 31, 2025, the Company expects that the revenue projection over the ten year term is de minimis and no longer includes the contingent royalty payment in the total fair value of the 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valuations as of June 30, 2026 and December 31, 2025 used inputs that were unobservable inputs with the most significant being the discount rates for royalties on projected commercial revenue and clinical milestones and probability of success estimates over the following ten years, which represent Level 3 measurements within the fair value hierarchy. The discount rate used for clinical milestones was 13% for the valuations as of June 30, 2026 and December 31, 2025 and the probability of success for the milestones was 5% for June 30, 2026 and December 31, 2025.</w:t>
      </w:r>
    </w:p>
    <w:p>
      <w:pPr>
        <w:pStyle w:val="TextBody"/>
        <w:bidi w:val="0"/>
        <w:spacing w:before="120" w:after="283"/>
        <w:jc w:val="left"/>
        <w:rPr>
          <w:rFonts w:ascii="Times New Roman" w:hAnsi="Times New Roman"/>
          <w:sz w:val="20"/>
        </w:rPr>
      </w:pPr>
      <w:r>
        <w:rPr>
          <w:rFonts w:ascii="Times New Roman" w:hAnsi="Times New Roman"/>
          <w:color w:val="000000"/>
          <w:sz w:val="20"/>
        </w:rPr>
        <w:t>The fair value of the contingent milestone and royalty liabilities for Perception was estimated to be $0.1 million and $0.1 million as of June 30, 2026 and December 31, 2025, respectively, and the Company did not recognize any change in fair value for the</w:t>
      </w:r>
      <w:r>
        <w:rPr>
          <w:rFonts w:ascii="Times New Roman" w:hAnsi="Times New Roman"/>
          <w:color w:val="FF0000"/>
          <w:sz w:val="20"/>
        </w:rPr>
        <w:t xml:space="preserve"> </w:t>
      </w:r>
      <w:r>
        <w:rPr>
          <w:rFonts w:ascii="Times New Roman" w:hAnsi="Times New Roman"/>
          <w:color w:val="000000"/>
          <w:sz w:val="20"/>
        </w:rPr>
        <w:t>three and six months ended June 30, 2026 and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Contingent Consideration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contingent consideration liabilities in the fair value measurement table above relate to milestone payments in connection with the acquisition of DemeRx IB, Inc. (“DemeRx”), and TryptageniX, Inc. (“TryptageniX”). The fair value of the contingent consideration liabilities was determined based on significant inputs not observable in the market, which represent Level 3 measurements within the fair value hierarchy. The fair value of the contingent milestone and royalty liabilities was estimated based on the discounted cash flow valuation technique. The technique considered unobservable inputs, including market-based discount rates and the probability and timing of achieving the specified milestones as of each valuation date.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DemeRx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the Company and DemeRx, Inc. entered into a Stock Purchase and Framework Agreement which resulted in the Company's acquisition of DemeRx, Inc.’s equity ownership of DemeRx IB (the “Stock Purchase”), in exchange for consideration that included, among other items, earn-out consideration of up to an additional $8.0 million payable to DemeRx, Inc. contingent upon the achievement of certain development milestones directly related to DemeRx’s oral capsule formulation of ibogaine (“DMX-1002”) program. The earn-out consideration was recorded at fair value in contingent consideration as a liability under ASC 480 and the fair value is adjusted each quarter and reflected in other income and expense in the statement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DemeRx contingent milestone could change in future periods depending on prospects for the outcome of ibogaine milestone meetings with the FDA or other regulatory authorities. The most significant assumptions in the discounted cash flow valuation technique that impacts the fair value of the milestone contingent consideration are the projected milestone timing and the probability of the milestone being met. The valuations as of June 30, 2026 and December 31, 2025 used inputs that were unobservable inputs with the most significant being the discount rates (range of 12.4%-12.6% for both the June 30, 2026 and December 31, 2025 valuation) and the probability of success of certain clinical milestones (range of 4%-5% for both June 30, 2026 and December 31, 2025), which both inputs represent Level 3 measurements within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contingent milestone for DemeRx was estimated to be $0.2 million and $0.2 million as of June 30, 2026 and December 31, 2025, respectively, and the Company did not recognize any change in fair value for the three and six months ended June 30, 2026 and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TryptageniX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contingent liability is comprised of research and development milestone success fee payments and royalties payments. The fair value of the success fee liability was estimated based on the scenario-based method within the income approach. The fair value of the contingent liability for TryptageniX was determined based on significant unobservable inputs, including the discount rate, estimated probabilities of success, and timing of achieving certain clinical milestones. The fair value of the royalties liability was determined to be de minimis as the products are in the early stages of development. The Company will continue to assess the appropriateness of the fair value of the contingent liability as the products continue through development. The fair value of the contingent liability for TryptageniX was estimated to be an immaterial amount as of both June 30, 2026 and December 31, 2025, and the Company did not recognize any change in fair value for the three and six months ended June 30, 2026 and 2025.</w:t>
      </w:r>
    </w:p>
    <w:p>
      <w:pPr>
        <w:pStyle w:val="TextBody"/>
        <w:bidi w:val="0"/>
        <w:spacing w:before="120" w:after="283"/>
        <w:jc w:val="left"/>
        <w:rPr>
          <w:rFonts w:ascii="Times New Roman" w:hAnsi="Times New Roman"/>
          <w:sz w:val="20"/>
        </w:rPr>
      </w:pPr>
      <w:r>
        <w:rPr>
          <w:rFonts w:ascii="Times New Roman" w:hAnsi="Times New Roman"/>
          <w:b/>
          <w:i/>
          <w:color w:val="000000"/>
          <w:sz w:val="20"/>
        </w:rPr>
        <w:t>Pre-funded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in Note 15, Stockholders’ Equity, the Company recognizes the June 2025 Pre-Funded Warrants and July 2025 Pre-Funded Warrants, respectively, at fair value as Pre-Funded warrant liabilities within its unaudited condensed consolidated balance sheet under ASC 815. The change in fair value of the Company's June 2025 Pre-Funded Warrants and July 2025 Pre-Funded Warrants is recognized as a Change in fair value of assets and liabilities, net in its unaudited condensed consolidated statements of operations. The fair value of these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instruments is estimated based on the Company's stock price observable in the market less the exercise price, which represents a Level 1 measurement within the fair value hierarchy.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the Company recognized $18.8 million and $12.8 million loss related to the change in fair value of the June 2025 Pre-Funded Warrants and July 2025 Pre-Funded Warrants. For the three and six months ended June 30, 2025, the Company recognized $2.2 million loss related to the change in fair value of the June 2025 Pre-Funded Warrants.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Level 3 Asset and Liability Roll Forward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roll forward of the aggregate fair values of the Company’s financial instruments described above, for which fair value is determined using Level 3 inputs (in thousands):</w:t>
      </w:r>
    </w:p>
    <w:p>
      <w:pPr>
        <w:pStyle w:val="TextBody"/>
        <w:bidi w:val="0"/>
        <w:jc w:val="left"/>
        <w:rPr/>
      </w:pPr>
      <w:r>
        <w:rPr/>
        <w:t> </w:t>
      </w:r>
    </w:p>
    <w:tbl>
      <w:tblPr>
        <w:tblW w:w="6026" w:type="dxa"/>
        <w:jc w:val="left"/>
        <w:tblInd w:w="0" w:type="dxa"/>
        <w:tblLayout w:type="fixed"/>
        <w:tblCellMar>
          <w:top w:w="28" w:type="dxa"/>
          <w:left w:w="28" w:type="dxa"/>
          <w:bottom w:w="28" w:type="dxa"/>
          <w:right w:w="28" w:type="dxa"/>
        </w:tblCellMar>
      </w:tblPr>
      <w:tblGrid>
        <w:gridCol w:w="2521"/>
        <w:gridCol w:w="346"/>
        <w:gridCol w:w="461"/>
        <w:gridCol w:w="889"/>
        <w:gridCol w:w="146"/>
        <w:gridCol w:w="146"/>
        <w:gridCol w:w="385"/>
        <w:gridCol w:w="74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br/>
              <w:t>Liability -</w:t>
              <w:br/>
              <w:t xml:space="preserve">Related Parties </w:t>
            </w:r>
            <w:r>
              <w:rPr>
                <w:rFonts w:ascii="Times New Roman" w:hAnsi="Times New Roman"/>
                <w:b/>
                <w:color w:val="000000"/>
                <w:sz w:val="11"/>
              </w:rPr>
              <w:t>(i)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br/>
              <w:t xml:space="preserve">Liabilities </w:t>
            </w:r>
            <w:r>
              <w:rPr>
                <w:rFonts w:ascii="Times New Roman" w:hAnsi="Times New Roman"/>
                <w:b/>
                <w:color w:val="000000"/>
                <w:sz w:val="11"/>
              </w:rPr>
              <w:t>(ii)</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6"/>
        </w:rPr>
        <w:br/>
      </w:r>
      <w:r>
        <w:rPr>
          <w:rFonts w:ascii="Times New Roman" w:hAnsi="Times New Roman"/>
          <w:color w:val="000000"/>
          <w:sz w:val="11"/>
        </w:rPr>
        <w:t>(i)</w:t>
      </w:r>
      <w:r>
        <w:rPr>
          <w:rFonts w:ascii="Times New Roman" w:hAnsi="Times New Roman"/>
          <w:color w:val="000000"/>
          <w:sz w:val="20"/>
        </w:rPr>
        <w:t xml:space="preserve"> </w:t>
      </w:r>
      <w:r>
        <w:rPr>
          <w:rFonts w:ascii="Times New Roman" w:hAnsi="Times New Roman"/>
          <w:color w:val="000000"/>
          <w:sz w:val="16"/>
        </w:rPr>
        <w:t>Includes Perception milestone based contingent consideration liability.</w:t>
        <w:br/>
      </w:r>
      <w:r>
        <w:rPr>
          <w:rFonts w:ascii="Times New Roman" w:hAnsi="Times New Roman"/>
          <w:color w:val="000000"/>
          <w:sz w:val="11"/>
        </w:rPr>
        <w:t>(ii)</w:t>
      </w:r>
      <w:r>
        <w:rPr>
          <w:rFonts w:ascii="Times New Roman" w:hAnsi="Times New Roman"/>
          <w:color w:val="000000"/>
          <w:sz w:val="20"/>
        </w:rPr>
        <w:t xml:space="preserve"> </w:t>
      </w:r>
      <w:r>
        <w:rPr>
          <w:rFonts w:ascii="Times New Roman" w:hAnsi="Times New Roman"/>
          <w:color w:val="000000"/>
          <w:sz w:val="16"/>
        </w:rPr>
        <w:t>Includes contingent consideration liability related to DemeRx IB Stock Purchase as well as contingent consideration liability related to the TryptageniX research and development milestone success fee payments and royalties payments.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9"/>
        <w:gridCol w:w="346"/>
        <w:gridCol w:w="516"/>
        <w:gridCol w:w="1509"/>
        <w:gridCol w:w="166"/>
        <w:gridCol w:w="146"/>
        <w:gridCol w:w="642"/>
        <w:gridCol w:w="1678"/>
        <w:gridCol w:w="146"/>
        <w:gridCol w:w="146"/>
        <w:gridCol w:w="430"/>
        <w:gridCol w:w="828"/>
        <w:gridCol w:w="146"/>
        <w:gridCol w:w="146"/>
        <w:gridCol w:w="385"/>
        <w:gridCol w:w="741"/>
        <w:gridCol w:w="395"/>
      </w:tblGrid>
      <w:tr>
        <w:trPr/>
        <w:tc>
          <w:tcPr>
            <w:tcW w:w="18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Beckley Psytech Additional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Convertible Notes Conversion Feature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br/>
              <w:t>Liability -</w:t>
              <w:br/>
              <w:t xml:space="preserve">Related Parties </w:t>
            </w:r>
            <w:r>
              <w:rPr>
                <w:rFonts w:ascii="Times New Roman" w:hAnsi="Times New Roman"/>
                <w:b/>
                <w:color w:val="000000"/>
                <w:sz w:val="11"/>
              </w:rPr>
              <w:t>(i)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br/>
              <w:t xml:space="preserve">Liabilities </w:t>
            </w:r>
            <w:r>
              <w:rPr>
                <w:rFonts w:ascii="Times New Roman" w:hAnsi="Times New Roman"/>
                <w:b/>
                <w:color w:val="000000"/>
                <w:sz w:val="11"/>
              </w:rPr>
              <w:t>(ii)</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6"/>
        </w:rPr>
        <w:br/>
      </w:r>
      <w:r>
        <w:rPr>
          <w:rFonts w:ascii="Times New Roman" w:hAnsi="Times New Roman"/>
          <w:color w:val="000000"/>
          <w:sz w:val="11"/>
        </w:rPr>
        <w:t>(i)</w:t>
      </w:r>
      <w:r>
        <w:rPr>
          <w:rFonts w:ascii="Times New Roman" w:hAnsi="Times New Roman"/>
          <w:color w:val="000000"/>
          <w:sz w:val="20"/>
        </w:rPr>
        <w:t xml:space="preserve"> </w:t>
      </w:r>
      <w:r>
        <w:rPr>
          <w:rFonts w:ascii="Times New Roman" w:hAnsi="Times New Roman"/>
          <w:color w:val="000000"/>
          <w:sz w:val="16"/>
        </w:rPr>
        <w:t xml:space="preserve">Includes Perception's milestone-based contingent consideration liability. </w:t>
        <w:br/>
      </w:r>
      <w:r>
        <w:rPr>
          <w:rFonts w:ascii="Times New Roman" w:hAnsi="Times New Roman"/>
          <w:color w:val="000000"/>
          <w:sz w:val="11"/>
        </w:rPr>
        <w:t>(ii)</w:t>
      </w:r>
      <w:r>
        <w:rPr>
          <w:rFonts w:ascii="Times New Roman" w:hAnsi="Times New Roman"/>
          <w:color w:val="000000"/>
          <w:sz w:val="20"/>
        </w:rPr>
        <w:t xml:space="preserve"> </w:t>
      </w:r>
      <w:r>
        <w:rPr>
          <w:rFonts w:ascii="Times New Roman" w:hAnsi="Times New Roman"/>
          <w:color w:val="000000"/>
          <w:sz w:val="16"/>
        </w:rPr>
        <w:t>Includes the contingent consideration liability related to DemeRx IB Stock Purchase and the contingent consideration liability related to the TryptageniX</w:t>
        <w:br/>
        <w:t>research and development milestone success fee payments and royalties payments.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consist of the following (in thousands):</w:t>
      </w:r>
    </w:p>
    <w:p>
      <w:pPr>
        <w:pStyle w:val="TextBody"/>
        <w:bidi w:val="0"/>
        <w:jc w:val="left"/>
        <w:rPr/>
      </w:pPr>
      <w:r>
        <w:rPr/>
        <w:t> </w:t>
      </w:r>
    </w:p>
    <w:tbl>
      <w:tblPr>
        <w:tblW w:w="7130" w:type="dxa"/>
        <w:jc w:val="left"/>
        <w:tblInd w:w="0" w:type="dxa"/>
        <w:tblLayout w:type="fixed"/>
        <w:tblCellMar>
          <w:top w:w="28" w:type="dxa"/>
          <w:left w:w="28" w:type="dxa"/>
          <w:bottom w:w="28" w:type="dxa"/>
          <w:right w:w="28" w:type="dxa"/>
        </w:tblCellMar>
      </w:tblPr>
      <w:tblGrid>
        <w:gridCol w:w="3676"/>
        <w:gridCol w:w="146"/>
        <w:gridCol w:w="276"/>
        <w:gridCol w:w="849"/>
        <w:gridCol w:w="146"/>
        <w:gridCol w:w="146"/>
        <w:gridCol w:w="368"/>
        <w:gridCol w:w="1132"/>
        <w:gridCol w:w="3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research and development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Short-term notes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consisted of the following (in thousands):</w:t>
      </w:r>
    </w:p>
    <w:p>
      <w:pPr>
        <w:pStyle w:val="TextBody"/>
        <w:bidi w:val="0"/>
        <w:jc w:val="left"/>
        <w:rPr/>
      </w:pPr>
      <w:r>
        <w:rPr/>
        <w:t> </w:t>
      </w:r>
    </w:p>
    <w:tbl>
      <w:tblPr>
        <w:tblW w:w="6750" w:type="dxa"/>
        <w:jc w:val="left"/>
        <w:tblInd w:w="0" w:type="dxa"/>
        <w:tblLayout w:type="fixed"/>
        <w:tblCellMar>
          <w:top w:w="28" w:type="dxa"/>
          <w:left w:w="28" w:type="dxa"/>
          <w:bottom w:w="28" w:type="dxa"/>
          <w:right w:w="28" w:type="dxa"/>
        </w:tblCellMar>
      </w:tblPr>
      <w:tblGrid>
        <w:gridCol w:w="3496"/>
        <w:gridCol w:w="146"/>
        <w:gridCol w:w="312"/>
        <w:gridCol w:w="813"/>
        <w:gridCol w:w="146"/>
        <w:gridCol w:w="146"/>
        <w:gridCol w:w="414"/>
        <w:gridCol w:w="108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Laboratory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and December 31, 2025, all of the Company’s in use manufacturing equipment, laboratory and office equipment, and computer equipment were located in North America and are comprised of assets used in Nualtis’ operations. The Company had $1.0 million of manufacturing equipment not in service located in Germany also owned by Nualtis as of June 30, 2026 and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and 2025, depreciation and amortization expense on property and equipment was $0.1 million and $0.1 million, respectively. For the six months ended June 30, 2026 and 2025, depreciation and amortization expense on property and equipment was $0.2 million and $0.2 million,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11. Intangible Assets, Goodwill, and Digital Assets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Definite-lived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Company’s acquisition of Nualtis in October 2024, the Company acquired ownership and intellectual property rights to Nualtis’ Oral Thin Film (“OTF”) platform technology. This platform technology serves as the foundation and platform to deliver active pharmaceutical ingredients for both the Company’s and other potential customer products. Collectively, the OTF Technologies will serve as a platform for both the Company's and other potential customers' own products. The Company determined there to be legal and competitive factors that limit the useful life of these OTF Technologies and therefore designated them as a definite-lived intangible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Company acquired a manufacturing contract with regards to Nualtis' right to manufacture gBelBuca, a generic version of Belbuca®, an opioid that is used to manage chronic pain severe enough to require daily, around-the-clock, long-term treatment. This manufacturing contract includes potential future royalty and milestone payments, for which the Company is now eligible to receive.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acquisition method of accounting, the Company allocated the acquisition cost for the transaction to the underlying assets acquired and liabilities assumed, based upon the estimated fair values of those assets and liabilities at the date of acquisition. The value allocated to the OTF Technology was $2.4 million, which will be amortized over the remaining estimated useful life of approximately 10 years from the time of acquisition. The value allocated to the gBelBuca contract was $0.2 million, which will be amortized over the estimated remaining useful life of approximately 19 years from the time of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definite-lived intangible assets above, the Company's definite-lived intangible assets also includes internal-use software costs, which was amortized over the estimated remaining useful life of approximately 4.2 years from the date the software was put into service. As of March 31, 2026, the Company’s internal-use software costs were fully amortized.</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Indefinite-lived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owned various intellectual property, including clinical trial data from previously consolidated or wholly owned subsidiaries and other intangible assets. The Company has designated each of these intangible assets to be indefinite-lived as there are no characteristics that limit each asset's useful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continually evaluates whether events or circumstances have occurred that indicate that the carrying value of the intangible assets may be impaired or that the estimated remaining useful lives of these assets may warrant revision. As of June 30, 2026, the Company determined that no intangible assets were impaired and that there are no facts or circumstances that would indicate a need for changing the estimated remaining useful lives of these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consisted of the following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7"/>
        <w:gridCol w:w="1194"/>
        <w:gridCol w:w="146"/>
        <w:gridCol w:w="181"/>
        <w:gridCol w:w="436"/>
        <w:gridCol w:w="146"/>
        <w:gridCol w:w="322"/>
        <w:gridCol w:w="857"/>
        <w:gridCol w:w="151"/>
        <w:gridCol w:w="266"/>
        <w:gridCol w:w="646"/>
        <w:gridCol w:w="146"/>
        <w:gridCol w:w="146"/>
        <w:gridCol w:w="181"/>
        <w:gridCol w:w="436"/>
        <w:gridCol w:w="146"/>
        <w:gridCol w:w="382"/>
        <w:gridCol w:w="797"/>
        <w:gridCol w:w="151"/>
        <w:gridCol w:w="278"/>
        <w:gridCol w:w="533"/>
        <w:gridCol w:w="151"/>
        <w:gridCol w:w="266"/>
        <w:gridCol w:w="646"/>
        <w:gridCol w:w="194"/>
      </w:tblGrid>
      <w:tr>
        <w:trPr/>
        <w:tc>
          <w:tcPr>
            <w:tcW w:w="140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Remaining 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Amortization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Amortization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Impairment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Carrying Amount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OTF Technology</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8.4</w:t>
            </w:r>
            <w:r>
              <w:rPr>
                <w:rFonts w:ascii="Times New Roman" w:hAnsi="Times New Roman"/>
                <w:color w:val="000000"/>
                <w:sz w:val="20"/>
              </w:rPr>
              <w:t> </w:t>
            </w:r>
            <w:r>
              <w:rPr>
                <w:rFonts w:ascii="Times New Roman" w:hAnsi="Times New Roman"/>
                <w:color w:val="000000"/>
                <w:sz w:val="14"/>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gBelBuca manufacturing contract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17.5</w:t>
            </w:r>
            <w:r>
              <w:rPr>
                <w:rFonts w:ascii="Times New Roman" w:hAnsi="Times New Roman"/>
                <w:color w:val="000000"/>
                <w:sz w:val="20"/>
              </w:rPr>
              <w:t> </w:t>
            </w:r>
            <w:r>
              <w:rPr>
                <w:rFonts w:ascii="Times New Roman" w:hAnsi="Times New Roman"/>
                <w:color w:val="000000"/>
                <w:sz w:val="14"/>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Internal-use software</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0</w:t>
            </w:r>
            <w:r>
              <w:rPr>
                <w:rFonts w:ascii="Times New Roman" w:hAnsi="Times New Roman"/>
                <w:color w:val="000000"/>
                <w:sz w:val="20"/>
              </w:rPr>
              <w:t> </w:t>
            </w:r>
            <w:r>
              <w:rPr>
                <w:rFonts w:ascii="Times New Roman" w:hAnsi="Times New Roman"/>
                <w:color w:val="000000"/>
                <w:sz w:val="14"/>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In-process research and development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indefinite-lived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2,851</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For the three months ended June 30, 2026 and 2025, amortization expense related to these intangible assets was $0.1 million and $0.1 million, respectively. For the six months ended June 30, 2026 and 2025, amortization expense related to these intangible assets was $0.2 million</w:t>
      </w:r>
      <w:r>
        <w:rPr>
          <w:rFonts w:ascii="Times New Roman" w:hAnsi="Times New Roman"/>
          <w:color w:val="FF0000"/>
          <w:sz w:val="20"/>
        </w:rPr>
        <w:t xml:space="preserve"> </w:t>
      </w:r>
      <w:r>
        <w:rPr>
          <w:rFonts w:ascii="Times New Roman" w:hAnsi="Times New Roman"/>
          <w:color w:val="000000"/>
          <w:sz w:val="20"/>
        </w:rPr>
        <w:t>and</w:t>
      </w:r>
      <w:r>
        <w:rPr>
          <w:rFonts w:ascii="Times New Roman" w:hAnsi="Times New Roman"/>
          <w:color w:val="FF0000"/>
          <w:sz w:val="20"/>
        </w:rPr>
        <w:t xml:space="preserve"> </w:t>
      </w:r>
      <w:r>
        <w:rPr>
          <w:rFonts w:ascii="Times New Roman" w:hAnsi="Times New Roman"/>
          <w:color w:val="000000"/>
          <w:sz w:val="20"/>
        </w:rPr>
        <w:t>$0.2 million,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Estimated future amortization expense for intangible assets subsequent to June 30, 2026</w:t>
      </w:r>
      <w:r>
        <w:rPr>
          <w:rFonts w:ascii="Times New Roman" w:hAnsi="Times New Roman"/>
          <w:color w:val="FF0000"/>
          <w:sz w:val="20"/>
        </w:rPr>
        <w:t xml:space="preserve"> </w:t>
      </w:r>
      <w:r>
        <w:rPr>
          <w:rFonts w:ascii="Times New Roman" w:hAnsi="Times New Roman"/>
          <w:color w:val="000000"/>
          <w:sz w:val="20"/>
        </w:rPr>
        <w:t xml:space="preserve">is as follows (in thousands): </w:t>
      </w:r>
    </w:p>
    <w:p>
      <w:pPr>
        <w:pStyle w:val="TextBody"/>
        <w:bidi w:val="0"/>
        <w:jc w:val="left"/>
        <w:rPr/>
      </w:pPr>
      <w:r>
        <w:rPr/>
        <w:t> </w:t>
      </w:r>
    </w:p>
    <w:tbl>
      <w:tblPr>
        <w:tblW w:w="1739" w:type="dxa"/>
        <w:jc w:val="left"/>
        <w:tblInd w:w="0" w:type="dxa"/>
        <w:tblLayout w:type="fixed"/>
        <w:tblCellMar>
          <w:top w:w="28" w:type="dxa"/>
          <w:left w:w="28" w:type="dxa"/>
          <w:bottom w:w="28" w:type="dxa"/>
          <w:right w:w="28" w:type="dxa"/>
        </w:tblCellMar>
      </w:tblPr>
      <w:tblGrid>
        <w:gridCol w:w="841"/>
        <w:gridCol w:w="196"/>
        <w:gridCol w:w="511"/>
        <w:gridCol w:w="191"/>
      </w:tblGrid>
      <w:tr>
        <w:trPr/>
        <w:tc>
          <w:tcPr>
            <w:tcW w:w="8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Thereafter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remaining useful lives of all amortizable assets is approximately 9.1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Company's acquisition of Nualtis in October 2024, the Company also recognized $0.3 million in goodwill, which was the difference between the amount of consideration associated with the transaction in excess of the fair value of net assets acquired. The goodwill is primarily attributable to the synergies of merging operations, expected future cash flows and the value of the acquired workforce. As of June 30, 2026 and December 31, 2025, the balance of goodwill was approximately $0.3 million.</w:t>
      </w:r>
    </w:p>
    <w:p>
      <w:pPr>
        <w:pStyle w:val="TextBody"/>
        <w:bidi w:val="0"/>
        <w:spacing w:before="120" w:after="283"/>
        <w:jc w:val="left"/>
        <w:rPr>
          <w:rFonts w:ascii="Times New Roman" w:hAnsi="Times New Roman"/>
          <w:sz w:val="20"/>
        </w:rPr>
      </w:pPr>
      <w:r>
        <w:rPr>
          <w:rFonts w:ascii="Times New Roman" w:hAnsi="Times New Roman"/>
          <w:b/>
          <w:i/>
          <w:color w:val="000000"/>
          <w:sz w:val="20"/>
        </w:rPr>
        <w:t>Digital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2025, the Company paid approximately $10.0 million in cash in return for approximately 100 Bitcoins. Under ASC 350-60, the Company’s digital assets are measured at fair value based on quoted prices on active exchanges, and are therefore categorized as Level 1 investments in the fair value hierarchy. The Company recognizes changes in the fair value of its digital assets as gains or losses in Change in fair value of digital assets, net on the Company's unaudited condensed consolidated statements of operations during the period in which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details of the activity related to the Company’s digital assets for the six months ended June 30, 2026 and 2025, respectively, are as follows (fair value in thousands):</w:t>
      </w:r>
    </w:p>
    <w:p>
      <w:pPr>
        <w:pStyle w:val="TextBody"/>
        <w:bidi w:val="0"/>
        <w:jc w:val="left"/>
        <w:rPr/>
      </w:pPr>
      <w:r>
        <w:rPr/>
        <w:t> </w:t>
      </w:r>
    </w:p>
    <w:tbl>
      <w:tblPr>
        <w:tblW w:w="4882" w:type="dxa"/>
        <w:jc w:val="left"/>
        <w:tblInd w:w="0" w:type="dxa"/>
        <w:tblLayout w:type="fixed"/>
        <w:tblCellMar>
          <w:top w:w="28" w:type="dxa"/>
          <w:left w:w="28" w:type="dxa"/>
          <w:bottom w:w="28" w:type="dxa"/>
          <w:right w:w="28" w:type="dxa"/>
        </w:tblCellMar>
      </w:tblPr>
      <w:tblGrid>
        <w:gridCol w:w="2701"/>
        <w:gridCol w:w="146"/>
        <w:gridCol w:w="146"/>
        <w:gridCol w:w="421"/>
        <w:gridCol w:w="146"/>
        <w:gridCol w:w="146"/>
        <w:gridCol w:w="226"/>
        <w:gridCol w:w="659"/>
        <w:gridCol w:w="2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Digital assets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Digital assets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Digital assets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82" w:type="dxa"/>
        <w:jc w:val="left"/>
        <w:tblInd w:w="0" w:type="dxa"/>
        <w:tblLayout w:type="fixed"/>
        <w:tblCellMar>
          <w:top w:w="28" w:type="dxa"/>
          <w:left w:w="28" w:type="dxa"/>
          <w:bottom w:w="28" w:type="dxa"/>
          <w:right w:w="28" w:type="dxa"/>
        </w:tblCellMar>
      </w:tblPr>
      <w:tblGrid>
        <w:gridCol w:w="2701"/>
        <w:gridCol w:w="146"/>
        <w:gridCol w:w="146"/>
        <w:gridCol w:w="421"/>
        <w:gridCol w:w="146"/>
        <w:gridCol w:w="146"/>
        <w:gridCol w:w="245"/>
        <w:gridCol w:w="640"/>
        <w:gridCol w:w="2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Digital assets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Digital assets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Unrealized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Digital assets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 of the following (in thousands):</w:t>
      </w:r>
    </w:p>
    <w:tbl>
      <w:tblPr>
        <w:tblW w:w="7340" w:type="dxa"/>
        <w:jc w:val="left"/>
        <w:tblInd w:w="0" w:type="dxa"/>
        <w:tblLayout w:type="fixed"/>
        <w:tblCellMar>
          <w:top w:w="28" w:type="dxa"/>
          <w:left w:w="28" w:type="dxa"/>
          <w:bottom w:w="28" w:type="dxa"/>
          <w:right w:w="28" w:type="dxa"/>
        </w:tblCellMar>
      </w:tblPr>
      <w:tblGrid>
        <w:gridCol w:w="3886"/>
        <w:gridCol w:w="146"/>
        <w:gridCol w:w="276"/>
        <w:gridCol w:w="849"/>
        <w:gridCol w:w="146"/>
        <w:gridCol w:w="146"/>
        <w:gridCol w:w="368"/>
        <w:gridCol w:w="1132"/>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accounting, legal, and other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compensation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(“ROU”) assets and operating lease liabilities are recognized based on the present value of the future minimum lease payments over the lease term at the commencement date. The operating lease ROU asset also includes lease payments made, lease incentives, and initial direct costs incurred,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through its Nualtis subsidiary, leases certain office, lab, and manufacturing space in Montréal, Canada under long-term operating leases that expire in 2031. The Company generally has options to renew lease terms on its facilities, which may be exercised at the Company's sole discretion. In February 2025, Nualtis amended their lease agreements to exercise the aforementioned renewal option. The Company adjusted the Operating lease right-of-use asset, net and lease liability by approximately $1.7 million to reflect the extended lease term. The amendment does not entitle the Company to lease additional space. The Company previously leased office space in Berlin, Germany until the lease was terminated in December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Nualtis sublet approximately 14,800 square feet of office, lab, and manufacturing space in Montréal, Canada. The sublease term is for three and a half years and commenced in August 2025. Nualtis has no options to extend the term of the sublease. Under the terms of the head lease, Nualtis is not relieved of its obligation as lessee and will continue to make monthly rent payments. Nualtis performed a recoverability test of the sublease agreement upon inception by comparing the rental income under the sublease to Nualtis’ obligations under the head lease and noted no impairment existed on the head lease. The sublease provides for monthly payments of rent during the lease term. The base rent is currently $0.2 million per year, subject to an annual 3.0% increase in each subsequent year thereafter. Payments received under the sublease are recorded as a reduction to rent expense, a component of General and administrative expense, in the unaudited condensed consolidated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remaining lease term for the Company’s operating leases as of June 30, 2026 was 4.7 years. The weighted-average discount rate for the Company’s operating leases as of June 30, 2026 was 9.1%.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ROU assets and lease liabilities related to the Company’s operating leases are as follows (in thousands):</w:t>
      </w:r>
    </w:p>
    <w:p>
      <w:pPr>
        <w:pStyle w:val="TextBody"/>
        <w:bidi w:val="0"/>
        <w:jc w:val="left"/>
        <w:rPr/>
      </w:pPr>
      <w:r>
        <w:rPr/>
        <w:t> </w:t>
      </w:r>
    </w:p>
    <w:tbl>
      <w:tblPr>
        <w:tblW w:w="7820" w:type="dxa"/>
        <w:jc w:val="left"/>
        <w:tblInd w:w="0" w:type="dxa"/>
        <w:tblLayout w:type="fixed"/>
        <w:tblCellMar>
          <w:top w:w="28" w:type="dxa"/>
          <w:left w:w="28" w:type="dxa"/>
          <w:bottom w:w="28" w:type="dxa"/>
          <w:right w:w="28" w:type="dxa"/>
        </w:tblCellMar>
      </w:tblPr>
      <w:tblGrid>
        <w:gridCol w:w="2011"/>
        <w:gridCol w:w="2701"/>
        <w:gridCol w:w="312"/>
        <w:gridCol w:w="813"/>
        <w:gridCol w:w="146"/>
        <w:gridCol w:w="146"/>
        <w:gridCol w:w="414"/>
        <w:gridCol w:w="1086"/>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Classification</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Right-of-use assets</w:t>
            </w:r>
          </w:p>
        </w:tc>
        <w:tc>
          <w:tcPr>
            <w:tcW w:w="27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lease right-of-use asset, net</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Current lease liabilities</w:t>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Current portion of lease liability</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Non-current lease liabilities</w:t>
            </w:r>
          </w:p>
        </w:tc>
        <w:tc>
          <w:tcPr>
            <w:tcW w:w="27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Non-current portion of lease liability</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related to leases are recorded on a straight-line basis over the lease term. The following table summarizes lease costs by component for the three and six months ended June 30, 2026 and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5"/>
        <w:gridCol w:w="146"/>
        <w:gridCol w:w="2870"/>
        <w:gridCol w:w="146"/>
        <w:gridCol w:w="339"/>
        <w:gridCol w:w="653"/>
        <w:gridCol w:w="288"/>
        <w:gridCol w:w="252"/>
        <w:gridCol w:w="339"/>
        <w:gridCol w:w="653"/>
        <w:gridCol w:w="146"/>
        <w:gridCol w:w="146"/>
        <w:gridCol w:w="319"/>
        <w:gridCol w:w="613"/>
        <w:gridCol w:w="270"/>
        <w:gridCol w:w="238"/>
        <w:gridCol w:w="319"/>
        <w:gridCol w:w="613"/>
        <w:gridCol w:w="200"/>
      </w:tblGrid>
      <w:tr>
        <w:trPr/>
        <w:tc>
          <w:tcPr>
            <w:tcW w:w="1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 Cost Components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Statement of Operations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expenses: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expenses: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expenses: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expenses: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minimum commitments under all non-cancelable operating leases are as follows (in thousands):</w:t>
      </w:r>
    </w:p>
    <w:p>
      <w:pPr>
        <w:pStyle w:val="TextBody"/>
        <w:bidi w:val="0"/>
        <w:jc w:val="left"/>
        <w:rPr/>
      </w:pPr>
      <w:r>
        <w:rPr/>
        <w:t> </w:t>
      </w:r>
    </w:p>
    <w:tbl>
      <w:tblPr>
        <w:tblW w:w="5323" w:type="dxa"/>
        <w:jc w:val="left"/>
        <w:tblInd w:w="0" w:type="dxa"/>
        <w:tblLayout w:type="fixed"/>
        <w:tblCellMar>
          <w:top w:w="28" w:type="dxa"/>
          <w:left w:w="28" w:type="dxa"/>
          <w:bottom w:w="28" w:type="dxa"/>
          <w:right w:w="28" w:type="dxa"/>
        </w:tblCellMar>
      </w:tblPr>
      <w:tblGrid>
        <w:gridCol w:w="2466"/>
        <w:gridCol w:w="346"/>
        <w:gridCol w:w="582"/>
        <w:gridCol w:w="1518"/>
        <w:gridCol w:w="411"/>
      </w:tblGrid>
      <w:tr>
        <w:trPr/>
        <w:tc>
          <w:tcPr>
            <w:tcW w:w="2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Lease Commitments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lease 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Imputed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Present value of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cash flow information related to the Company’s operating leases for the six months ended June 30, 2026 and 2025 are as follows (in thousands):</w:t>
      </w:r>
    </w:p>
    <w:p>
      <w:pPr>
        <w:pStyle w:val="TextBody"/>
        <w:bidi w:val="0"/>
        <w:jc w:val="left"/>
        <w:rPr/>
      </w:pPr>
      <w:r>
        <w:rPr/>
        <w:t> </w:t>
      </w:r>
    </w:p>
    <w:tbl>
      <w:tblPr>
        <w:tblW w:w="8345" w:type="dxa"/>
        <w:jc w:val="left"/>
        <w:tblInd w:w="0" w:type="dxa"/>
        <w:tblLayout w:type="fixed"/>
        <w:tblCellMar>
          <w:top w:w="28" w:type="dxa"/>
          <w:left w:w="28" w:type="dxa"/>
          <w:bottom w:w="28" w:type="dxa"/>
          <w:right w:w="28" w:type="dxa"/>
        </w:tblCellMar>
      </w:tblPr>
      <w:tblGrid>
        <w:gridCol w:w="5366"/>
        <w:gridCol w:w="146"/>
        <w:gridCol w:w="385"/>
        <w:gridCol w:w="740"/>
        <w:gridCol w:w="146"/>
        <w:gridCol w:w="146"/>
        <w:gridCol w:w="312"/>
        <w:gridCol w:w="813"/>
        <w:gridCol w:w="291"/>
      </w:tblGrid>
      <w:tr>
        <w:trPr/>
        <w:tc>
          <w:tcPr>
            <w:tcW w:w="5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Debt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Convertible Promissory Notes</w:t>
      </w:r>
    </w:p>
    <w:p>
      <w:pPr>
        <w:pStyle w:val="TextBody"/>
        <w:bidi w:val="0"/>
        <w:spacing w:before="120" w:after="283"/>
        <w:jc w:val="left"/>
        <w:rPr>
          <w:rFonts w:ascii="Times New Roman" w:hAnsi="Times New Roman"/>
          <w:sz w:val="20"/>
        </w:rPr>
      </w:pPr>
      <w:r>
        <w:rPr>
          <w:rFonts w:ascii="Times New Roman" w:hAnsi="Times New Roman"/>
          <w:b/>
          <w:i/>
          <w:color w:val="000000"/>
          <w:sz w:val="20"/>
        </w:rPr>
        <w:t>Convertible Promissory Notes—Related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2018 and October 2020, ATAI Life Sciences AG (k/n/a ATAI Life Sciences GmbH and a subsidiary of ATAI Life Sciences N.V.) issued non</w:t>
        <w:noBreakHyphen/>
        <w:t>interest</w:t>
        <w:noBreakHyphen/>
        <w:t xml:space="preserve">bearing, unsecured convertible promissory notes with an aggregate principal amount of €1.0 million ($1.2 million). The notes were scheduled to mature on September 30, 2025, and were convertible, prior to maturity, into ATAI Life Sciences AG shares upon payment of €17.00 per share (the “Convertible Notes”).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Exchange of Convertible 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and April 2024, a noteholder and a related party noteholder, respectively, exchanged their respective Convertible Notes for an equivalent principal amount of notes issued by ATAI Life Sciences NV, which subsequently became AtaiBeckley Inc. as described in Note 1, Organization and Description of Business, pursuant to the Redomiciliation Transaction (the “New Convertible Notes”). The New Convertible Notes had a face value of €1, were non</w:t>
        <w:noBreakHyphen/>
        <w:t>interest</w:t>
        <w:noBreakHyphen/>
        <w:t>bearing, unsecured, were scheduled to mature on September 30, 2025, and were convertible into sixteen shares of the Company upon the payment of €17.00.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the exchanges were modifications of the debt, resulting in the New Convertible Notes’ conversion feature no longer meeting the equity classification criteria. Accordingly, at the time of the respective note exchanges, the Company bifurcated the conversion option and reclassified the conversion option fair value from equity to a liability. The conversion option was measured at fair value on a quarterly basis and any changes in the fair value was recorded as Change in fair value of assets and liabilities, net, in the consolidated statements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Conversion of Convertible Promissory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noteholder and related party noteholder converted all outstanding New Convertible Notes into an aggregate of 6,185,904 common shares of the Company. The Company derecognized the carrying amount of the notes with no gain or loss recognized and received $7.7 million upon conversion.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the Company recorded a $3.1 million loss and a $3.2 million loss, respectively, as a result of the change in fair value of the New Convertible Notes. </w:t>
      </w:r>
    </w:p>
    <w:p>
      <w:pPr>
        <w:pStyle w:val="TextBody"/>
        <w:bidi w:val="0"/>
        <w:spacing w:before="120" w:after="283"/>
        <w:jc w:val="left"/>
        <w:rPr>
          <w:rFonts w:ascii="Times New Roman" w:hAnsi="Times New Roman"/>
          <w:sz w:val="20"/>
        </w:rPr>
      </w:pPr>
      <w:r>
        <w:rPr>
          <w:rFonts w:ascii="Times New Roman" w:hAnsi="Times New Roman"/>
          <w:b/>
          <w:color w:val="000000"/>
          <w:sz w:val="20"/>
        </w:rPr>
        <w:t>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Loan and Security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2022, the Company and certain subsidiaries entered into a Loan and Security Agreement (as amended, the “Hercules Loan Agreement”) with Hercules Capital, Inc. (“Hercules”) providing term loans in an aggregate principal amount of up to $175.0 million under multiple tranches with an original maturity of August 1, 2026 (collectively, the “2022 Term Loan Facility”). Outstanding principal amounts under the 2022 Term Loan Facility bore interest at a floating rate equal to the greater of (i) the Wall Street Journal prime rate plus 4.30% or 4.05% upon satisfaction of certain conditions and (ii) 9.05%, with interest payable monthly and interest</w:t>
        <w:noBreakHyphen/>
        <w:t xml:space="preserve">only payments permitted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September 1, 2025, subject to extension. The agreement included customary fees, events of default, and affirmative and negative covenants, including minimum cash maintenance requirements subject to certain thresholds and exceptions. Upon an event of default, amounts outstanding could be accelerated. The Company was in compliance with all applicable covenants prior to the 2022 Term Loan Facility Payoff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 2025, the Company and Hercules entered into a payoff letter for a voluntary prepayment with respect to the Hercules Loan Agreement (the “Payoff Letter”). Pursuant to the Payoff Letter, on May 2, 2025 (the “Payoff Date”), the Borrowers paid off the outstanding loan amount of approximately $21.8 million in full in repayment of the Company’s outstanding obligations under the Hercules Loan Agreement, and thereby terminated the 2022 Term Loan Facility. Due to the early prepayment, the Borrowers incurred a prepayment fee equal to 0.50% of the outstanding principal balance for a total of $0.1 million. In addition, the Borrowers paid an end of term charge equal to 6.95% of the outstanding principal balance for a total of $1.4 million. During the three and six months ended June 30, 2025, the Company recognized a $1.3 million loss on extinguishment of debt, which is recorded to Loss on extinguishment of debt in the Company's unaudited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Prior to the Payoff Date, the Company incurred financing expenses related to the Hercules Loan Agreement, which were recorded as an offset to long-term debt on the Company's unaudited condensed consolidated balance sheets. These deferred financing costs were amortized over the term of the debt using the effective interest method, and were included in other income, net in the Company’s unaudited condensed consolidated statements of operations. For three and six months ended June 30, 2025, interest expense included $0.1</w:t>
      </w:r>
      <w:r>
        <w:rPr>
          <w:rFonts w:ascii="Times New Roman" w:hAnsi="Times New Roman"/>
          <w:color w:val="FF0000"/>
          <w:sz w:val="20"/>
        </w:rPr>
        <w:t xml:space="preserve"> </w:t>
      </w:r>
      <w:r>
        <w:rPr>
          <w:rFonts w:ascii="Times New Roman" w:hAnsi="Times New Roman"/>
          <w:color w:val="000000"/>
          <w:sz w:val="20"/>
        </w:rPr>
        <w:t>million and $0.2</w:t>
      </w:r>
      <w:r>
        <w:rPr>
          <w:rFonts w:ascii="Times New Roman" w:hAnsi="Times New Roman"/>
          <w:color w:val="FF0000"/>
          <w:sz w:val="20"/>
        </w:rPr>
        <w:t xml:space="preserve"> </w:t>
      </w:r>
      <w:r>
        <w:rPr>
          <w:rFonts w:ascii="Times New Roman" w:hAnsi="Times New Roman"/>
          <w:color w:val="000000"/>
          <w:sz w:val="20"/>
        </w:rPr>
        <w:t xml:space="preserve">million, respectively, of amortized deferred financing costs related to the 2022 Term Loan Facility.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15.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Redomiciliation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noted above in Note 1, Organization and Description of Business, on December 30, 2025, the Company completed the Redomiciliation Transaction. Pursuant to the Redomiciliation Transaction, each ordinary share of Atai Beckley N.V. was exchanged for one ordinary share of atai LuxCo. Pursuant to the Delaware Conversion, each ordinary share of atai LuxCo automatically converted by operation of law to one share of common stock of AtaiBeckley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Terms of the common stock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voting, dividend, liquidation and other rights and powers of common stock are subject to and qualified by the rights, powers, and preferences of any series of preferred stock as designated by the Board of Directors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rights and preferences of any holders of preferred stock, the holders of common stock are entitled to any payment of dividends on the common stock, if declared by the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rights of any holders of preferred stock, the number of authorized shares of common stock may be increased or decreased by the requisite vote of the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rights and preferences of any holders of preferred stock, in the event of dissolution, liquidation, or winding up of the Company, the funds and assets of the Company may be legally distributed among the stockholders of common stock pro rata in accordance with the number of shares held by each such holder.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this process, the legal denomination of the Company’s common stock changed from Euro to U.S. dollars. All common stock in atai Life Sciences N.V., par value €0.10, were canceled and exchanged for common stock in AtaiBeckley Inc., par value $0.01, on a one-for-one basis. AtaiBeckley Inc.’s common stock par value was decreased by $38.1 million for the difference between the total par value of common stock of AtaiBeckley Inc. and the total par value of common stock of atai Life Sciences N.V. at the date of transfer, with an offset to additional paid in capital. This change did not affect the Company’s functional currency, which remains the U.S. dollar, nor did it result in any gain or loss in the consolidated financial statements. The redomiciliation was effected solely for legal and administrative purposes and had no impact on the number of shares outstanding or total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Redomiciliation Transaction, the Company is authorized to issue up to 37,500,000 shares of stock designated as “preferred stock,” with a par value of $0.01 per share. These shares are issuable from time to time in one or more series as designated by the Company’s board of directors, which may resolve to determine and fix the number of shares of such series and such voting powers and designations, including dividend rights, conversion rights, redemption privileges and liquidation preferences, and to increase or decrease the number of shares of any series.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respectively, there are no shares of preferred stock outstanding.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Redomiciliation Transaction, the Company is authorized to issue up to 750,000,000 shares of common stock, with a par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of $0.01 per share. All holders of common stock have identical rights. Each share of common stock entitles the holder to one vote on all matters submitted to the stockholders for a vote.</w:t>
      </w:r>
    </w:p>
    <w:p>
      <w:pPr>
        <w:pStyle w:val="TextBody"/>
        <w:bidi w:val="0"/>
        <w:spacing w:before="120" w:after="283"/>
        <w:jc w:val="left"/>
        <w:rPr>
          <w:rFonts w:ascii="Times New Roman" w:hAnsi="Times New Roman"/>
          <w:sz w:val="20"/>
        </w:rPr>
      </w:pPr>
      <w:r>
        <w:rPr>
          <w:rFonts w:ascii="Times New Roman" w:hAnsi="Times New Roman"/>
          <w:color w:val="000000"/>
          <w:sz w:val="20"/>
        </w:rPr>
        <w:t>All holders of common stock are entitled to receive dividends, as may be declared by the Company’s board of directors. Upon liquidation, holders of common stock will receive a distribution on a pro rata basis. As of</w:t>
      </w:r>
      <w:r>
        <w:rPr>
          <w:rFonts w:ascii="Times New Roman" w:hAnsi="Times New Roman"/>
          <w:color w:val="FF0000"/>
          <w:sz w:val="20"/>
        </w:rPr>
        <w:t xml:space="preserve"> </w:t>
      </w:r>
      <w:r>
        <w:rPr>
          <w:rFonts w:ascii="Times New Roman" w:hAnsi="Times New Roman"/>
          <w:color w:val="000000"/>
          <w:sz w:val="20"/>
        </w:rPr>
        <w:t>June 30, 2026 and December 31, 2025, no cash dividends have been declared or paid.</w:t>
      </w:r>
    </w:p>
    <w:p>
      <w:pPr>
        <w:pStyle w:val="TextBody"/>
        <w:bidi w:val="0"/>
        <w:spacing w:before="120" w:after="283"/>
        <w:jc w:val="left"/>
        <w:rPr>
          <w:rFonts w:ascii="Times New Roman" w:hAnsi="Times New Roman"/>
          <w:sz w:val="20"/>
        </w:rPr>
      </w:pPr>
      <w:r>
        <w:rPr>
          <w:rFonts w:ascii="Times New Roman" w:hAnsi="Times New Roman"/>
          <w:b/>
          <w:i/>
          <w:color w:val="000000"/>
          <w:sz w:val="20"/>
        </w:rPr>
        <w:t>Open Market Sale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March 6, 2026, the Company entered into an Open Market Sale Agreement</w:t>
      </w:r>
      <w:r>
        <w:rPr>
          <w:rFonts w:ascii="Times New Roman" w:hAnsi="Times New Roman"/>
          <w:color w:val="000000"/>
          <w:sz w:val="13"/>
        </w:rPr>
        <w:t>SM</w:t>
      </w:r>
      <w:r>
        <w:rPr>
          <w:rFonts w:ascii="Times New Roman" w:hAnsi="Times New Roman"/>
          <w:color w:val="000000"/>
          <w:sz w:val="20"/>
        </w:rPr>
        <w:t xml:space="preserve"> (the “Sales Agreement”) with Jefferies LLC (“Jefferies”), pursuant to which the Company could issue and sell its common stock from time to time through an “at the market” equity offering program under which Jefferies would act as sales agent. The common stock to be sold pursuant to the Sales Agreement, if any, was to be issued pursuant to the Company’s registration statement on Form S-3 (File No. 333-294124) and related prospectus supplement contained therein that were filed on March 9, 2026 with the SEC. The Sales Agreement was subsequently terminated pursuant to its terms in connection with the Company’s entry into the Merger Agreement. There were no sales under the Sales Agreement during the six months ended June 30,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February 2025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the Company entered into an underwriting agreement (the “February Underwriting Agreement”) with Berenberg Capital Markets LLC in connection with the issuance and sale by the Company in a public offering of 30,119,048 of its common stock, at a public offering price of $2.10 per share, less underwriting discounts and commissions. The common stock was offered pursuant to a registration statement on Form S-3 filed with the SEC on July 1, 2022 and declared effective on July 11, 2022 as well as a prospectus supplement thereto. The net proceeds from the offering of the common stock were approximately $59.1 million, after deducting the underwriting discounts and commissions and offering expenses payable by the Company.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June 2025 PIPE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 2025, the Company entered into subscription agreements, dated as of June 2, 2025 (the “June 2025 Subscription Agreements”), relating to the purchase (the “June 2025 PIPE Financing”) by the investors party thereto of (i) 9,993,341 common shares of the Company for a purchase price of $1.84 per share, and (ii) pre-funded warrants to purchase 6,311,006 common shares with an exercise price of $0.01 (the “June 2025 Pre-Funded Warrants”), for a purchase price of $1.84 per common share underlying the June 2025 Pre-Funded Warrants less the exercise price for the June 2025 Pre-Funded Warrants of $0.01 per share. The June 2025 PIPE Financing resulted in aggregate gross proceeds to the Company of approximately $29.9 million, with $18.4 million coming from the issuance of the common stock and $11.5 million coming from the issuance of the pre-funded warrants. Under ASC 815 the Company recognizes the June 2025 Pre-Funded Warrants at fair value as Pre-funded warrant liabilities within its unaudited condensed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incurred offering expenses related to the June 2025 PIPE Financing of $1.8 million, which were allocated based on the relative fair values of common stock and pre-funded warrants issued. The Company recognized an expense for the amount allocated to the pre-funded warrants of $0.7 million (included as a component of Other expense, net within the unaudited condensed consolidated statement of operations) upon the closing of the offering during the three and six months ended June 30, 2025. The Company recorded the amount allocated to the common stock of $1.1 million as a reduction in additional paid-in capital on its balance sheets as of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July 2025 PIPE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2025, the Company entered into subscription agreements, dated as of July 1, 2025 (“July 2025 Subscription Agreements”), relating to the purchase (the “July 2025 PIPE Financing”) by the investors party thereto of (i) 18,264,840 common shares of the Company for a purchase price of $2.19 per share, and (ii) pre-funded warrants to purchase 4,566,210 common shares with an exercise price of $0.01 (the “July 2025 Pre-Funded Warrant”) for a purchase price of $2.19 per common share underlying the July 2025 Pre-Funded Warrant less the exercise price for the July 2025 Pre-Funded Warrant of $0.01 per share. The July 2025 PIPE Financing resulted in aggregate gross proceeds to the Company of approximately $50.0 million, with $40.0 million coming from the issuance of the common stock and $10.0 million coming from the issuance of the pre-funded warrants. Under ASC 815 the Company recognizes the July 2025 Pre-Funded Warrants at fair value as Pre-funded warrant liabilities within its unaudited condensed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incurred offering expenses related to the July 2025 PIPE Financing of $3.3 million, which were allocated based on the relative fair values of common stock and pre-funded warrants issued. The Company recognized an expense for the amount allocated to the pre-funded warrants of $0.7 million (included as a component of Other expense, net within the unaudited condensed consolidated statement of operations) upon the closing of the offering during the three months ended September 30, 2025. The Company recorded the amount allocated to the common stock of $2.6 million as a reduction in additional paid-in capital on its balance sheets as of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October 2025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2025, the Company entered into an underwriting agreement with Jefferies, as representative of the underwriters, in connection with the issuance and sale by the Company in a public offering of 27,283,750 of its common stock, at a public offering price of $5.48 per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less underwriting discounts and commissions. The common stock was offered pursuant to a registration statement on Form S-3 filed with the SEC on September 29, 2025, which became automatically effective upon filing with the SEC, as well as a prospectus supplement thereto. The net proceeds from the offering of the common stock were approximately $139.1 million, after deducting the underwriting discounts and commissions and offering expenses payable by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AtaiBeckley 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stock options outstanding under various equity incentive plans, including the 2020 Incentive Plan, 2021 Incentive Plan, and HSOP Plan, which are further described in Note 16, Stock-Based Compensation, of the Company’s audited consolidated financial statements included in the Company’s Annual Report on Form 10-K filed with the SEC on March 6,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were no shares available for future grants under the 2020 Incentive Plan and any shares subject to outstanding options originally granted under the 2020 Equity Incentive Plan that terminate, expire or lapse for any reason without the delivery of shares to the holder thereof shall become available for issuance pursuant to the 2021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that are expired, terminated, surrendered, or canceled without having been fully exercised will be available for future awards. As of June 30, 2026, 33,530,171 shares were available for future grants under the 2021 Incentive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257,419 HSOP Options were available for future grants under the HSOP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Option activity under 2020 Incentive Plan and 2021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stock options outstanding noted below consist primarily of both service and performance-based options to purchase common stock. These stock options have a ten-year contractual term. These awards are subject to the risk of forfeiture until vested by virtue of continued employment or service to the Company.</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is a summary of stock option activity from December 31, 2025 to June 30, 2026</w:t>
      </w:r>
      <w:r>
        <w:rPr>
          <w:rFonts w:ascii="Times New Roman" w:hAnsi="Times New Roman"/>
          <w:color w:val="FF0000"/>
          <w:sz w:val="20"/>
        </w:rPr>
        <w:t>:</w:t>
      </w:r>
    </w:p>
    <w:p>
      <w:pPr>
        <w:pStyle w:val="TextBody"/>
        <w:bidi w:val="0"/>
        <w:jc w:val="left"/>
        <w:rPr/>
      </w:pPr>
      <w:r>
        <w:rPr/>
        <w:t> </w:t>
      </w:r>
    </w:p>
    <w:tbl>
      <w:tblPr>
        <w:tblW w:w="9432" w:type="dxa"/>
        <w:jc w:val="left"/>
        <w:tblInd w:w="0" w:type="dxa"/>
        <w:tblLayout w:type="fixed"/>
        <w:tblCellMar>
          <w:top w:w="28" w:type="dxa"/>
          <w:left w:w="28" w:type="dxa"/>
          <w:bottom w:w="28" w:type="dxa"/>
          <w:right w:w="28" w:type="dxa"/>
        </w:tblCellMar>
      </w:tblPr>
      <w:tblGrid>
        <w:gridCol w:w="3331"/>
        <w:gridCol w:w="146"/>
        <w:gridCol w:w="146"/>
        <w:gridCol w:w="1036"/>
        <w:gridCol w:w="166"/>
        <w:gridCol w:w="286"/>
        <w:gridCol w:w="266"/>
        <w:gridCol w:w="590"/>
        <w:gridCol w:w="146"/>
        <w:gridCol w:w="146"/>
        <w:gridCol w:w="257"/>
        <w:gridCol w:w="823"/>
        <w:gridCol w:w="146"/>
        <w:gridCol w:w="146"/>
        <w:gridCol w:w="300"/>
        <w:gridCol w:w="1110"/>
        <w:gridCol w:w="3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43,533,126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12,022,424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(i)</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52,260,571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(ii)</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23,447,102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12,022,424 stock options that will vest according to certain time-based vesting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sz w:val="20"/>
        </w:rPr>
      </w:pPr>
      <w:r>
        <w:rPr>
          <w:rFonts w:ascii="Times New Roman" w:hAnsi="Times New Roman"/>
          <w:color w:val="000000"/>
          <w:sz w:val="20"/>
        </w:rPr>
        <w:t>The 28,813,469 unexercisable stock options include (a) 23,355,760 unvested stock options that will continue to vest over various service periods, (b)</w:t>
      </w:r>
      <w:r>
        <w:rPr>
          <w:rFonts w:ascii="Times New Roman" w:hAnsi="Times New Roman"/>
          <w:color w:val="FF0000"/>
          <w:sz w:val="20"/>
        </w:rPr>
        <w:t xml:space="preserve"> </w:t>
      </w:r>
      <w:r>
        <w:rPr>
          <w:rFonts w:ascii="Times New Roman" w:hAnsi="Times New Roman"/>
          <w:color w:val="000000"/>
          <w:sz w:val="20"/>
        </w:rPr>
        <w:t>4,684,582 unvested stock options that will vest upon the satisfaction of certain performance obligations or market conditions, and (c) 773,127 vested options subject to a lock-up period whereby 1/12</w:t>
      </w:r>
      <w:r>
        <w:rPr>
          <w:rFonts w:ascii="Times New Roman" w:hAnsi="Times New Roman"/>
          <w:color w:val="000000"/>
          <w:sz w:val="13"/>
        </w:rPr>
        <w:t>th</w:t>
      </w:r>
      <w:r>
        <w:rPr>
          <w:rFonts w:ascii="Times New Roman" w:hAnsi="Times New Roman"/>
          <w:color w:val="000000"/>
          <w:sz w:val="20"/>
        </w:rPr>
        <w:t xml:space="preserve"> of the underlying shares will be released from the lock-up each calendar month beginning January 2026.</w:t>
      </w:r>
    </w:p>
    <w:p>
      <w:pPr>
        <w:pStyle w:val="TextBody"/>
        <w:bidi w:val="0"/>
        <w:spacing w:before="120" w:after="283"/>
        <w:jc w:val="left"/>
        <w:rPr>
          <w:rFonts w:ascii="Times New Roman" w:hAnsi="Times New Roman"/>
          <w:sz w:val="20"/>
        </w:rPr>
      </w:pPr>
      <w:r>
        <w:rPr>
          <w:rFonts w:ascii="Times New Roman" w:hAnsi="Times New Roman"/>
          <w:color w:val="000000"/>
          <w:sz w:val="20"/>
        </w:rPr>
        <w:t>The weighted-average grant-date fair value of options granted during the six months ended June 30, 2026 was $3.17 per option. The weighted-average grant-date fair value of options granted during the six months ended June 30, 2025 was $1.40</w:t>
      </w:r>
      <w:r>
        <w:rPr>
          <w:rFonts w:ascii="Times New Roman" w:hAnsi="Times New Roman"/>
          <w:color w:val="FF0000"/>
          <w:sz w:val="20"/>
        </w:rPr>
        <w:t xml:space="preserve"> </w:t>
      </w:r>
      <w:r>
        <w:rPr>
          <w:rFonts w:ascii="Times New Roman" w:hAnsi="Times New Roman"/>
          <w:color w:val="000000"/>
          <w:sz w:val="20"/>
        </w:rPr>
        <w:t xml:space="preserve">per option.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estimates the fair value of each stock option using the Black-Scholes option-pricing model on the date of grant. During the six months ended June 30, 2026 and 2025, the assumptions used in the Black-Scholes option pricing model were as follows: </w:t>
      </w:r>
    </w:p>
    <w:tbl>
      <w:tblPr>
        <w:tblW w:w="7060" w:type="dxa"/>
        <w:jc w:val="left"/>
        <w:tblInd w:w="0" w:type="dxa"/>
        <w:tblLayout w:type="fixed"/>
        <w:tblCellMar>
          <w:top w:w="28" w:type="dxa"/>
          <w:left w:w="28" w:type="dxa"/>
          <w:bottom w:w="28" w:type="dxa"/>
          <w:right w:w="28" w:type="dxa"/>
        </w:tblCellMar>
      </w:tblPr>
      <w:tblGrid>
        <w:gridCol w:w="4111"/>
        <w:gridCol w:w="146"/>
        <w:gridCol w:w="1306"/>
        <w:gridCol w:w="146"/>
        <w:gridCol w:w="135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5.94</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stock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99.3%</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3.69% - 4.21%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3.80% - 4.47%</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2026 and 2025, the Company recorded stock-based compensation expense related to stock options of $6.0 million and $2.7 million, respectively. For the six months ended June 30, 2026 and 2025, the Company recorded stock-based compensation expense related to stock options of $10.5 million and $5.8 million, respectively.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total unrecognized compensation cost related to the unvested stock options was $48.2 million, which is expected to be recognized over a weighted average period of 2.80 years. </w:t>
      </w:r>
    </w:p>
    <w:p>
      <w:pPr>
        <w:pStyle w:val="TextBody"/>
        <w:bidi w:val="0"/>
        <w:spacing w:before="120" w:after="283"/>
        <w:jc w:val="left"/>
        <w:rPr>
          <w:rFonts w:ascii="Times New Roman" w:hAnsi="Times New Roman"/>
          <w:sz w:val="20"/>
        </w:rPr>
      </w:pPr>
      <w:r>
        <w:rPr>
          <w:rFonts w:ascii="Times New Roman" w:hAnsi="Times New Roman"/>
          <w:i/>
          <w:color w:val="000000"/>
          <w:sz w:val="20"/>
        </w:rPr>
        <w:t>Restricted Stock Unit activity under the 2021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granted RSUs to certain of its employees under the 2021 Incentive Plan, as part of its equity compensation program. Pursuant to the terms of the applicable award agreements, each RSU represents the right to receive one share of the Company’s common stock. The restricted stock units noted below consisted of service-based awards that vested over a two-year period, subject to the risk of forfeiture until vested by virtue of continued employment or service to the Company. The Company reflects restricted stock units as issued and outstanding common stock when vested and the shares have been delivered to the individual.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restricted stock unit activity from December 31, 2025 to June 30, 2026:</w:t>
      </w:r>
    </w:p>
    <w:p>
      <w:pPr>
        <w:pStyle w:val="TextBody"/>
        <w:bidi w:val="0"/>
        <w:jc w:val="left"/>
        <w:rPr/>
      </w:pPr>
      <w:r>
        <w:rPr/>
        <w:t> </w:t>
      </w:r>
    </w:p>
    <w:tbl>
      <w:tblPr>
        <w:tblW w:w="9265" w:type="dxa"/>
        <w:jc w:val="left"/>
        <w:tblInd w:w="0" w:type="dxa"/>
        <w:tblLayout w:type="fixed"/>
        <w:tblCellMar>
          <w:top w:w="28" w:type="dxa"/>
          <w:left w:w="28" w:type="dxa"/>
          <w:bottom w:w="28" w:type="dxa"/>
          <w:right w:w="28" w:type="dxa"/>
        </w:tblCellMar>
      </w:tblPr>
      <w:tblGrid>
        <w:gridCol w:w="2701"/>
        <w:gridCol w:w="146"/>
        <w:gridCol w:w="343"/>
        <w:gridCol w:w="2192"/>
        <w:gridCol w:w="166"/>
        <w:gridCol w:w="146"/>
        <w:gridCol w:w="990"/>
        <w:gridCol w:w="2190"/>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issued 6,971,912 fully vested RSUs as replacement awards to certain equity award holders in Beckley Psytech as described in Note 4, Acquisitions. The shares underlying the RSUs are subject to a lock-up period whereby approximately 1/12th of the shares will be released from the lock-up each calendar month which began in January 2026, resulting in all shares being freely transferable in January 2027. During the six months ended June 30, 2026, the Company released 3,485,962 shares underlying the replacement RSUs from the lock-up.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2026, the Company recognized stock-based compensation expense related to RSUs of $1.4 million and did not recognize any stock-based compensation expense related to RSUs for the three months ended June 30, 2025. For the six months ended June 30, 2026 and 2025, the Company recognized stock-based compensation expense related to RSUs of $2.4 million and $0.2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total unrecognized compensation cost related to the unvested stock-based awards was $16.0 million, which is expected to be recognized over a weighted average period of 3.14 years.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Option activity under HSOP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HSOP Options outstanding noted below consist of service and performance-based options and give the holder the option to request the distribution of HSOP Shares underlying its vested HSOP options. These HSOP Options have a fifteen-year contractual term. These HSOP Options vested over a three to four-year service period. These awards are subject to the risk of forfeiture until vested by virtue of continued employment or service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stock option activity under the HSOP Plan from December 31, 2025 to June 30, 2026:</w:t>
      </w:r>
    </w:p>
    <w:p>
      <w:pPr>
        <w:pStyle w:val="TextBody"/>
        <w:bidi w:val="0"/>
        <w:jc w:val="left"/>
        <w:rPr/>
      </w:pPr>
      <w:r>
        <w:rPr/>
        <w:t> </w:t>
      </w:r>
    </w:p>
    <w:tbl>
      <w:tblPr>
        <w:tblW w:w="9167" w:type="dxa"/>
        <w:jc w:val="left"/>
        <w:tblInd w:w="0" w:type="dxa"/>
        <w:tblLayout w:type="fixed"/>
        <w:tblCellMar>
          <w:top w:w="28" w:type="dxa"/>
          <w:left w:w="28" w:type="dxa"/>
          <w:bottom w:w="28" w:type="dxa"/>
          <w:right w:w="28" w:type="dxa"/>
        </w:tblCellMar>
      </w:tblPr>
      <w:tblGrid>
        <w:gridCol w:w="3331"/>
        <w:gridCol w:w="146"/>
        <w:gridCol w:w="146"/>
        <w:gridCol w:w="931"/>
        <w:gridCol w:w="146"/>
        <w:gridCol w:w="146"/>
        <w:gridCol w:w="266"/>
        <w:gridCol w:w="590"/>
        <w:gridCol w:w="146"/>
        <w:gridCol w:w="146"/>
        <w:gridCol w:w="219"/>
        <w:gridCol w:w="861"/>
        <w:gridCol w:w="146"/>
        <w:gridCol w:w="146"/>
        <w:gridCol w:w="533"/>
        <w:gridCol w:w="877"/>
        <w:gridCol w:w="3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shown above, the Company did not grant any new HSOP options during the three and six months ended June 30, 2026 and 2025, and the Company did not recognize any stock-based compensation expenses related to HSOP options for the three and six months ended June 30, 2026 and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there was no unrecognized compensation cost related to any unvested HSOP options.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Subsidiary 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controlled subsidiaries of the Company adopted their own equity incentive plans (each, an “EIP”). Each EIP is generally structured so that the applicable subsidiary, and its affiliates’ employees, directors, officers and consultants are eligible to receive non-qualified and incentive stock options and restricted stock unit awards under their respective EIP. Standard option grants have time-based vesting requirements, generally vesting over a period of four years with a contractual term of ten years. Such time-based stock options use the Black-Scholes option pricing model to determine grant date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and 2025, the Company recognized stock-based compensation expense related to EIP options of an immaterial amount.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there was $0.1 million of total unrecognized stock-based compensation expense related to unvested EIP awards to employees and non-employee directors expected to be recognized over a weighted-average period of approximately 2.90 years.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is allocated to either research and development or general and administrative expense in the unaudited condensed consolidated statements of operations in the same manner in which the award recipient’s salary and related costs are classified or in which the award recipient’s service payments are classified, as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total stock-based compensation expense by function for the three and six months ended June 30, 2026, which includes expense related to stock options and restricted stock unit awards (in thousands):</w:t>
      </w:r>
    </w:p>
    <w:p>
      <w:pPr>
        <w:pStyle w:val="TextBody"/>
        <w:bidi w:val="0"/>
        <w:jc w:val="left"/>
        <w:rPr/>
      </w:pPr>
      <w:r>
        <w:rPr/>
        <w:t> </w:t>
      </w:r>
    </w:p>
    <w:tbl>
      <w:tblPr>
        <w:tblW w:w="8452" w:type="dxa"/>
        <w:jc w:val="left"/>
        <w:tblInd w:w="0" w:type="dxa"/>
        <w:tblLayout w:type="fixed"/>
        <w:tblCellMar>
          <w:top w:w="28" w:type="dxa"/>
          <w:left w:w="28" w:type="dxa"/>
          <w:bottom w:w="28" w:type="dxa"/>
          <w:right w:w="28" w:type="dxa"/>
        </w:tblCellMar>
      </w:tblPr>
      <w:tblGrid>
        <w:gridCol w:w="3451"/>
        <w:gridCol w:w="146"/>
        <w:gridCol w:w="416"/>
        <w:gridCol w:w="1129"/>
        <w:gridCol w:w="149"/>
        <w:gridCol w:w="149"/>
        <w:gridCol w:w="862"/>
        <w:gridCol w:w="863"/>
        <w:gridCol w:w="149"/>
        <w:gridCol w:w="149"/>
        <w:gridCol w:w="215"/>
        <w:gridCol w:w="583"/>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 Incentive Plan</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Subsidiary EIPs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7,433</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29" w:type="dxa"/>
        <w:jc w:val="left"/>
        <w:tblInd w:w="0" w:type="dxa"/>
        <w:tblLayout w:type="fixed"/>
        <w:tblCellMar>
          <w:top w:w="28" w:type="dxa"/>
          <w:left w:w="28" w:type="dxa"/>
          <w:bottom w:w="28" w:type="dxa"/>
          <w:right w:w="28" w:type="dxa"/>
        </w:tblCellMar>
      </w:tblPr>
      <w:tblGrid>
        <w:gridCol w:w="3451"/>
        <w:gridCol w:w="146"/>
        <w:gridCol w:w="367"/>
        <w:gridCol w:w="1178"/>
        <w:gridCol w:w="146"/>
        <w:gridCol w:w="146"/>
        <w:gridCol w:w="689"/>
        <w:gridCol w:w="103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 Incentive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Subsidiary EIPs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total stock-based compensation expense by function for the three and six months ended June 30, 2025, which includes expense related to stock options and restricted stock unit awards (in thousands):</w:t>
      </w:r>
    </w:p>
    <w:p>
      <w:pPr>
        <w:pStyle w:val="TextBody"/>
        <w:bidi w:val="0"/>
        <w:jc w:val="left"/>
        <w:rPr/>
      </w:pPr>
      <w:r>
        <w:rPr/>
        <w:t> </w:t>
      </w:r>
    </w:p>
    <w:tbl>
      <w:tblPr>
        <w:tblW w:w="9204" w:type="dxa"/>
        <w:jc w:val="left"/>
        <w:tblInd w:w="0" w:type="dxa"/>
        <w:tblLayout w:type="fixed"/>
        <w:tblCellMar>
          <w:top w:w="28" w:type="dxa"/>
          <w:left w:w="28" w:type="dxa"/>
          <w:bottom w:w="28" w:type="dxa"/>
          <w:right w:w="28" w:type="dxa"/>
        </w:tblCellMar>
      </w:tblPr>
      <w:tblGrid>
        <w:gridCol w:w="3451"/>
        <w:gridCol w:w="146"/>
        <w:gridCol w:w="627"/>
        <w:gridCol w:w="1698"/>
        <w:gridCol w:w="146"/>
        <w:gridCol w:w="146"/>
        <w:gridCol w:w="689"/>
        <w:gridCol w:w="1036"/>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 and 2021 Incentive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Subsidiary EIPs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04" w:type="dxa"/>
        <w:jc w:val="left"/>
        <w:tblInd w:w="0" w:type="dxa"/>
        <w:tblLayout w:type="fixed"/>
        <w:tblCellMar>
          <w:top w:w="28" w:type="dxa"/>
          <w:left w:w="28" w:type="dxa"/>
          <w:bottom w:w="28" w:type="dxa"/>
          <w:right w:w="28" w:type="dxa"/>
        </w:tblCellMar>
      </w:tblPr>
      <w:tblGrid>
        <w:gridCol w:w="3451"/>
        <w:gridCol w:w="146"/>
        <w:gridCol w:w="627"/>
        <w:gridCol w:w="1698"/>
        <w:gridCol w:w="146"/>
        <w:gridCol w:w="146"/>
        <w:gridCol w:w="689"/>
        <w:gridCol w:w="1036"/>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 and 2021 Incentive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Subsidiary EIPs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 Income Taxes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records its quarterly income tax expense by utilizing an estimated annual effective tax rate applied to its period to date earnings as adjusted for any discrete items arising during the quarter. The tax effects for discrete items are recorded in the period in which they occur. For the three months ended June 30, 2026 and 2025, the Company recorded $0.1 million and $0.1 million of income tax expense, respectively. For the six months ended June 30, 2026 and 2025, the Company recorded $0.1 million</w:t>
      </w:r>
      <w:r>
        <w:rPr>
          <w:rFonts w:ascii="Times New Roman" w:hAnsi="Times New Roman"/>
          <w:color w:val="FF0000"/>
          <w:sz w:val="20"/>
        </w:rPr>
        <w:t xml:space="preserve"> </w:t>
      </w:r>
      <w:r>
        <w:rPr>
          <w:rFonts w:ascii="Times New Roman" w:hAnsi="Times New Roman"/>
          <w:color w:val="000000"/>
          <w:sz w:val="20"/>
        </w:rPr>
        <w:t xml:space="preserve">and $0.2 million of income tax expense, respectively. The income tax expense recorded for the three and six months ended June 30, 2026 relates to the Company’s subsidiaries in the United Kingdom, Germany, and Canada and was driven primarily by discrete tax expenses related to stock-based compensation. The primary difference between the effective tax rate and the statutory tax rate relates to the income tax treatment of stock-based compensation expense, which impacts the current and overall tax expense due to the applicable valuation allowance. The Company continues to maintain a full valuation allowance against its deferred tax assets </w:t>
      </w:r>
    </w:p>
    <w:p>
      <w:pPr>
        <w:pStyle w:val="TextBody"/>
        <w:bidi w:val="0"/>
        <w:spacing w:before="240" w:after="283"/>
        <w:jc w:val="left"/>
        <w:rPr>
          <w:rFonts w:ascii="Times New Roman" w:hAnsi="Times New Roman"/>
          <w:sz w:val="20"/>
        </w:rPr>
      </w:pPr>
      <w:r>
        <w:rPr>
          <w:rFonts w:ascii="Times New Roman" w:hAnsi="Times New Roman"/>
          <w:b/>
          <w:color w:val="000000"/>
          <w:sz w:val="20"/>
        </w:rPr>
        <w:t>18.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share attributable to Company stockholders were calculated as follows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04"/>
        <w:gridCol w:w="146"/>
        <w:gridCol w:w="211"/>
        <w:gridCol w:w="1141"/>
        <w:gridCol w:w="166"/>
        <w:gridCol w:w="146"/>
        <w:gridCol w:w="211"/>
        <w:gridCol w:w="1141"/>
        <w:gridCol w:w="166"/>
        <w:gridCol w:w="146"/>
        <w:gridCol w:w="211"/>
        <w:gridCol w:w="1141"/>
        <w:gridCol w:w="166"/>
        <w:gridCol w:w="146"/>
        <w:gridCol w:w="211"/>
        <w:gridCol w:w="1141"/>
        <w:gridCol w:w="311"/>
      </w:tblGrid>
      <w:tr>
        <w:trPr/>
        <w:tc>
          <w:tcPr>
            <w:tcW w:w="3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Net loss attributable to AtaiBeckley Inc. stockholders - basic </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stock outstanding attributable to</w:t>
              <w:br/>
              <w:t>   AtaiBeckley Inc.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360,753,298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196,563,699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359,096,616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186,473,494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attributable to AtaiBeckley Inc.</w:t>
              <w:br/>
              <w:t>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HSOP Shares issued to the HSOP Plan and allocated to the HSOP Participants are not considered outstanding for accounting purposes and not included in the calculation of basic weighted average common stock outstanding in the table above because the HSOP Participants have a forfeitable right to distributions until the HSOP Options vest and are exercised, at which time the right becomes nonforfeitable.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also represents the maximum amount of outstanding stock of potentially dilutive securities that were excluded from the computation of diluted net loss per share attributable to common stockholders for the periods presented because including them would have been antidilutive:</w:t>
      </w:r>
    </w:p>
    <w:p>
      <w:pPr>
        <w:pStyle w:val="TextBody"/>
        <w:bidi w:val="0"/>
        <w:jc w:val="left"/>
        <w:rPr/>
      </w:pPr>
      <w:r>
        <w:rPr/>
        <w:t> </w:t>
      </w:r>
    </w:p>
    <w:tbl>
      <w:tblPr>
        <w:tblW w:w="7659" w:type="dxa"/>
        <w:jc w:val="left"/>
        <w:tblInd w:w="0" w:type="dxa"/>
        <w:tblLayout w:type="fixed"/>
        <w:tblCellMar>
          <w:top w:w="28" w:type="dxa"/>
          <w:left w:w="28" w:type="dxa"/>
          <w:bottom w:w="28" w:type="dxa"/>
          <w:right w:w="28" w:type="dxa"/>
        </w:tblCellMar>
      </w:tblPr>
      <w:tblGrid>
        <w:gridCol w:w="4666"/>
        <w:gridCol w:w="146"/>
        <w:gridCol w:w="146"/>
        <w:gridCol w:w="1036"/>
        <w:gridCol w:w="146"/>
        <w:gridCol w:w="146"/>
        <w:gridCol w:w="146"/>
        <w:gridCol w:w="1036"/>
        <w:gridCol w:w="1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52,260,571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48,565,515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HSOP 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convertible promissory notes -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3,818,704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10,877,216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subject to lock-up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78,385,149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67,984,254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19.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enter into contracts in the normal course of business with clinical research organizations for clinical trials, with contract manufacturing organizations for clinical supplies, and with other vendors for preclinical studies, supplies and other services and products for operating purposes.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may provide indemnifications of varying scope and terms to vendors, lessors, business partners, non-executive board members, officers and other parties with respect to certain matters, including, but not limited to, losses arising out of breach of such agreements, services to be provided by the Company, negligence or willful misconduct of the Company, violations of law by the Company, or intellectual property infringement claims made by third parties. In addition, the Company has entered into indemnification agreements with our non-employee directors and certain officers and employees that will require the Company, among other things, to indemnify them against certain liabilities that may arise by reason of their status or service as non-employee directors, officers or employees. No demands have been made upon the Company to provide indemnification under such agreements, and thus, there are no claims that the Company is aware of that could have a material effect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maintains director and officer insurance, which may cover certain liabilities arising from its obligation to indemnify the Company’s directors. To date, the Company has not incurred any material costs and has not accrued any liabilities in the consolidated financial statements as a result of these provisions.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in the ordinary course of business. The Company is unable to predict the outcome of these matters or the ultimate legal and financial liability, and at this time cannot reasonably estimate the possible loss or range of loss and accordingly has not accrued a related liability. At each reporting date, the Company evaluates whether or not a potential loss amount or a potential range of loss is probable and reasonably estimable under the provisions of the authoritative guidance that addresses accounting for contingencies.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Australian Research and Development Tax Incentive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2026, the Australian Taxation Office (“ATO”) commenced an audit of a refundable research and development tax incentive received by one of the Company's Australian subsidiaries for the year ended December 31, 2022. The ATO’s consideration of the matter remains ongoing, and the Company continues to engage with the ATO through external legal counsel regarding certain matters raised during the audit. As of June 30, 2026, no final assessment has been issued by the ATO. Based on the information currently available, the Company has concluded that recognition of a liability is not appropriate under ASC 450 because it is not probable that a liability has been incurred and any potential repayment cannot currently be reasonably estimated. Accordingly, no liability has been recorded as of June 30, 2026. The Company will continue to evaluate this matter as additional information becomes available.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 License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Rizafilm LLC License and Supply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3, Revenue, in January 2025, the Company, through its wholly-owned subsidiary Nualtis, entered into an APA and a Supply Agreement with Rizafilm. Under the APA, Nualtis sold licensing and intellectual property rights of Nualtis' oral thin film technology and under the Supply Agreement, subject to approval by the FDA, Nualtis will serve as the sole manufacturer of Rizafilm's products over a five year term with an automatic renewal option for an additional five years unless either party provides sufficient written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and 2025, the Company recognized $0.3 million and no license revenue, respectively, related to the completion of certain milestones under the APA. During the six months ended June 30, 2026 and 2025, the Company recognized $0.5 million and $0.2 million, respectively, of license revenue related to the completion of certain milestones under the APA.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Psilera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the Company entered into an Intellectual Property Assignment &amp; License Agreement with Psilera, Inc. (“Psilera”) under which the Company has acquired Psilera's dimethyltryptamine (“DMT”) patent portfolio, including all granted and pending patents related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DMT and other related psychedelics. In return, the Company paid Psilera an upfront fee of $0.8 million upon execution of the agreement and may also be required to pay Psilera additional consideration upon the achievement of certain regulatory and sales milestones, in addition to certain sales-based royalties over a ten-year period. The Company determined that the transaction was an asset acquisition under ASC 805 and recognized the upfront fee of $0.8 million as Research and development expenses in the unaudited condensed consolidated statement of operations for the six months ended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determined the regulatory and sales milestones meet the requirements of contingent consideration acquired via an asset acquisition. The Company has elected the practical expedient under FASB's Statement 141 for the accounting of the regulatory and sales milestones. Under this guidance, the contingent consideration will be recorded once the contingencies are resolved and the consideration is issued or becomes issuable. In August 2025, Psilera achieved a milestone related to the grant of certain patents by the United States Patent Office. Upon completion of the milestone, the Company paid Psilera $2.3 million, which was recognized as Research and development expenses in the unaudited condensed consolidated statement of operations for the for the three months ended September 30, 2025. The Company may be required to pay Psilera up to an additional $80.0 million upon the completion of certain sales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and 2025, the Company did not make any other payments to Psilera in connection with the Psilera Agreement. Additionally, as of June 30, 2026, the Company did not record any contingent liabilities in connection with the Psilera Agreement.</w:t>
      </w:r>
    </w:p>
    <w:p>
      <w:pPr>
        <w:pStyle w:val="TextBody"/>
        <w:bidi w:val="0"/>
        <w:spacing w:before="240" w:after="283"/>
        <w:jc w:val="left"/>
        <w:rPr>
          <w:rFonts w:ascii="Times New Roman" w:hAnsi="Times New Roman"/>
          <w:sz w:val="20"/>
        </w:rPr>
      </w:pPr>
      <w:r>
        <w:rPr>
          <w:rFonts w:ascii="Times New Roman" w:hAnsi="Times New Roman"/>
          <w:b/>
          <w:color w:val="000000"/>
          <w:sz w:val="20"/>
        </w:rPr>
        <w:t>21.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atai 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formation of atai in 2018, the Company entered into a series of transactions with its shareholders Apeiron Investment Group Ltd. (“Apeiron”), the family office of Christian Angermayer, Co-Founder and Chairman of the Company, among other shareholders, contributed their investments in COMPASS, Innoplexus and Juvenescence Ltd. to the Company in exchange for the Company's common stock of equivalent value. Apeiron is the family office of the Company’s co-founder who owns 15.1% and 15.2% of the outstanding common stock in the Company as of June 30, 2026 and December 31, 2025,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Amended and Restated Consulting Agreement with Mr. Angermayer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Redomiciliation Transaction, the Company and Mr. Angermayer entered into an Amended and Restated Consultancy Agreement pursuant to which Mr. Angermayer will continue to provide services to the Company on business and financing matters until January 5, 2028. Mr. Angermayer’s prior consulting agreement with the Company was substantially similar and provided for consideration in the form of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Company granted to Mr. Angermayer in further consideration of his continued service as a consultant and other valuable consideration (i) an option to purchase 337,686 shares of common stock of the Company that will vest with respect to 131,698 shares subject to the option based on the Company’s standard four year vesting schedule and with respect to 205,988 shares subject to the option based on the Company achieving certain asset value goals by December 31, 2026 and continued service with the Company through such date, and (ii) an option to purchase 292,500 shares that will vest based on the Company achieving certain asset value goals by December 31, 2026 and continued service with the Company through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and 2025, the Company recognized $0.3 million and $0.1 million, respectively, of stock-based compensation included in general and administrative expense in its unaudited condensed consolidated statements of operations related to Mr. Angermayer’s consulting agreement. For the six months ended June 30, 2026 and 2025, the Company recognized $0.6 million and $0.3 million, respectively, of stock-based compensation included in general and administrative expense in its unaudited condensed consolidated statements of operations related to Mr. Angermayer’s consulting agreement.</w:t>
      </w:r>
    </w:p>
    <w:p>
      <w:pPr>
        <w:pStyle w:val="TextBody"/>
        <w:bidi w:val="0"/>
        <w:spacing w:before="120" w:after="283"/>
        <w:jc w:val="left"/>
        <w:rPr>
          <w:rFonts w:ascii="Times New Roman" w:hAnsi="Times New Roman"/>
          <w:sz w:val="20"/>
        </w:rPr>
      </w:pPr>
      <w:r>
        <w:rPr>
          <w:rFonts w:ascii="Times New Roman" w:hAnsi="Times New Roman"/>
          <w:color w:val="000000"/>
          <w:sz w:val="20"/>
        </w:rPr>
        <w:t>For both the three months ended June 30, 2026 and 2025, the Company recognized</w:t>
      </w:r>
      <w:r>
        <w:rPr>
          <w:rFonts w:ascii="Times New Roman" w:hAnsi="Times New Roman"/>
          <w:color w:val="FF0000"/>
          <w:sz w:val="20"/>
        </w:rPr>
        <w:t xml:space="preserve"> </w:t>
      </w:r>
      <w:r>
        <w:rPr>
          <w:rFonts w:ascii="Times New Roman" w:hAnsi="Times New Roman"/>
          <w:color w:val="000000"/>
          <w:sz w:val="20"/>
        </w:rPr>
        <w:t>an immaterial amount</w:t>
      </w:r>
      <w:r>
        <w:rPr>
          <w:rFonts w:ascii="Times New Roman" w:hAnsi="Times New Roman"/>
          <w:color w:val="FF0000"/>
          <w:sz w:val="20"/>
        </w:rPr>
        <w:t xml:space="preserve"> </w:t>
      </w:r>
      <w:r>
        <w:rPr>
          <w:rFonts w:ascii="Times New Roman" w:hAnsi="Times New Roman"/>
          <w:color w:val="000000"/>
          <w:sz w:val="20"/>
        </w:rPr>
        <w:t>of stock-based compensation included in general and administrative expense in its unaudited condensed consolidated statements of operations related to Mr. Angermayer's service as Chairman of the board. For both the six months ended June 30, 2026 and 2025, the Company recognized $0.1 million of stock-based compensation included in general and administrative expense in its unaudited condensed consolidated statements of operations related to Mr. Angermayer's service as Chairman of the board.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Amandala Neuro Limited Notes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7, Notes Receivable, upon the acquisition and consolidation of Beckley Psytech in November 2025, the Company recognized $1.5 million of notes receivable from Amandala, in which the Company owns approximately 33.7%. In June 2026, the Company received approximately $0.7 million from Amandala as a principal repayment under the Amandala Notes Receivable. As of June 30, 2026, the carrying amount of the Amandala Notes Receivable is $1.0 million, with $0.1 million recognized as Prepaid expenses and other current assets and $0.9 million recognized as Other assets within the unaudited 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22. Government Grant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August 2025, the Company announced that it has been awarded a multi-year, milestone-driven grant worth up to $11.4 million by the National Institute on Drug Abuse (“NIDA”), part of the National Institutes of Health (“NIH”). The grant funds will be utilized for the optimization and early-stage development of the Company’s novel 5-HT2A/2C receptor agonists with non-hallucinogenic potential for opioid use disorder. The funding is intended to support lead optimization, translational proof-of-concept studies, and the toxicology and manufacturing work needed to file an Investigational New Drug application.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determined that, under ASU 2025-10, the NIDA grant received is a grant related to income. The Company recognizes the grant systematically through earnings as the Company determined that it is probable the Company will comply with the conditions of the grant and that the government grant will be received. Accordingly, the Company recognizes qualifying research and development expenditures under the NIDA grant as a reduction in Research and development expense in the statement of operations. For the</w:t>
      </w:r>
      <w:r>
        <w:rPr>
          <w:rFonts w:ascii="Times New Roman" w:hAnsi="Times New Roman"/>
          <w:color w:val="FF0000"/>
          <w:sz w:val="20"/>
        </w:rPr>
        <w:t xml:space="preserve"> </w:t>
      </w:r>
      <w:r>
        <w:rPr>
          <w:rFonts w:ascii="Times New Roman" w:hAnsi="Times New Roman"/>
          <w:color w:val="000000"/>
          <w:sz w:val="20"/>
        </w:rPr>
        <w:t>three and six months ended June 30, 2026,</w:t>
      </w:r>
      <w:r>
        <w:rPr>
          <w:rFonts w:ascii="Times New Roman" w:hAnsi="Times New Roman"/>
          <w:color w:val="FF0000"/>
          <w:sz w:val="20"/>
        </w:rPr>
        <w:t xml:space="preserve"> </w:t>
      </w:r>
      <w:r>
        <w:rPr>
          <w:rFonts w:ascii="Times New Roman" w:hAnsi="Times New Roman"/>
          <w:color w:val="000000"/>
          <w:sz w:val="20"/>
        </w:rPr>
        <w:t>the Company recognized $0.8 million and $1.5 million, respectively,</w:t>
      </w:r>
      <w:r>
        <w:rPr>
          <w:rFonts w:ascii="Times New Roman" w:hAnsi="Times New Roman"/>
          <w:color w:val="FF0000"/>
          <w:sz w:val="20"/>
        </w:rPr>
        <w:t xml:space="preserve"> </w:t>
      </w:r>
      <w:r>
        <w:rPr>
          <w:rFonts w:ascii="Times New Roman" w:hAnsi="Times New Roman"/>
          <w:color w:val="000000"/>
          <w:sz w:val="20"/>
        </w:rPr>
        <w:t>in qualifying Research and development expenditures, which has been recorded as a reduction in Research and development expense in the unaudited condensed statement of operations. For the three and six months ended June 30, 2025,</w:t>
      </w:r>
      <w:r>
        <w:rPr>
          <w:rFonts w:ascii="Times New Roman" w:hAnsi="Times New Roman"/>
          <w:color w:val="FF0000"/>
          <w:sz w:val="20"/>
        </w:rPr>
        <w:t xml:space="preserve"> </w:t>
      </w:r>
      <w:r>
        <w:rPr>
          <w:rFonts w:ascii="Times New Roman" w:hAnsi="Times New Roman"/>
          <w:color w:val="000000"/>
          <w:sz w:val="20"/>
        </w:rPr>
        <w:t xml:space="preserve">the Company did not recognize any qualifying Research and development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the Company received $0.4 million and $0.9 million, respectively, of reimbursements from the NIDA grant, which was recognized as a reduction to Prepaid expenses and other current assets in its unaudited condensed consolidated balance sheets. As of June 30, 2026, the Company recognized a grant receivable of $0.8 million in Prepaid expenses and other current assets in its unaudited condensed consolidated balance sheets. From the inception of the grant award in August 2025 to December 31, 2025, the Company did not receive reimbursements from the NIDA grant and recognized a grant receivable of $0.3 million in Prepaid expenses and other current assets in its consolidated balance sheets as of December 31,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23. Defined Contribution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defined contribution retirement savings plan under Section 401(k) of the Internal Revenue Code. This plan allows eligible employees to defer a portion of their annual compensation. Employees may make contributions by having the Company withhold a percentage of their salary up to the Internal Revenue Service annual limit. For the three months ended June 30, 2026 and 2025, the Company recognized $0.1 million and $0.1 million, respectively, of related compensation expense. For the six months ended June 30, 2026 and 2025, the Company recognized $0.2 million and $0.2 million, respectively, of related compensation expense.</w:t>
      </w:r>
    </w:p>
    <w:p>
      <w:pPr>
        <w:pStyle w:val="TextBody"/>
        <w:bidi w:val="0"/>
        <w:spacing w:before="240" w:after="283"/>
        <w:jc w:val="left"/>
        <w:rPr>
          <w:rFonts w:ascii="Times New Roman" w:hAnsi="Times New Roman"/>
          <w:sz w:val="20"/>
        </w:rPr>
      </w:pPr>
      <w:r>
        <w:rPr>
          <w:rFonts w:ascii="Times New Roman" w:hAnsi="Times New Roman"/>
          <w:b/>
          <w:color w:val="000000"/>
          <w:sz w:val="20"/>
        </w:rPr>
        <w:t>24. Corporate 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2025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and November 2025, the Company eliminated approximately 25% and 10%, respectively, of its global workforce as part of a restructuring initiative in order to reduce operational costs and extend the Company's cash runway. </w:t>
      </w:r>
    </w:p>
    <w:p>
      <w:pPr>
        <w:pStyle w:val="TextBody"/>
        <w:bidi w:val="0"/>
        <w:spacing w:before="120" w:after="283"/>
        <w:jc w:val="left"/>
        <w:rPr>
          <w:rFonts w:ascii="Times New Roman" w:hAnsi="Times New Roman"/>
          <w:sz w:val="20"/>
        </w:rPr>
      </w:pPr>
      <w:r>
        <w:rPr>
          <w:rFonts w:ascii="Times New Roman" w:hAnsi="Times New Roman"/>
          <w:color w:val="000000"/>
          <w:sz w:val="20"/>
        </w:rPr>
        <w:t>Restructuring expense related to the March 2025 workforce reduction was incurred primarily during the six months ended June 30, 2025, resulting in $1.1 million of restructuring expense, which consisted of $1.1 million of cash expenditures for severance and other employee separation-related costs and an immaterial amount of stock-based compensation expense. Of the restructuring expense for the March 2025 workforce reduction, $0.4 million and $0.7 million were recorded in research and development expenses and general and administrative expenses, respectively, in the unaudited condensed consolidated statement of operations. There was no remaining restructuring liability related to the March 2025 restructuring as of December 31, 2025</w:t>
      </w:r>
      <w:r>
        <w:rPr>
          <w:rFonts w:ascii="Times New Roman" w:hAnsi="Times New Roman"/>
          <w:color w:val="FF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expense related to the November 2025 workforce reduction was incurred primarily during the three months ended December 31, 2025, resulting in $1.8 million of restructuring expense, which consisted entirely of cash expenditures for severance and other employee separation-related costs. Of the restructuring expense related to the November 2025 workforce reduction, $0.6 million and $1.2 million were recorded in research and development expenses and general and administrative expenses, respectively, in the unaudited condensed consolidated statement of operations. There was no remaining restructuring liability related to the November 2025 restructuring as of June 30, 2026 and there was a $0.3 million restructuring liability as of December 31, 2025 related to the November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restructuring accrual and related payments for the six months ended June 30, 2026 is as follows (in thousands):</w:t>
      </w:r>
    </w:p>
    <w:p>
      <w:pPr>
        <w:pStyle w:val="TextBody"/>
        <w:bidi w:val="0"/>
        <w:jc w:val="left"/>
        <w:rPr/>
      </w:pPr>
      <w:r>
        <w:rPr/>
        <w:t> </w:t>
      </w:r>
    </w:p>
    <w:tbl>
      <w:tblPr>
        <w:tblW w:w="5043" w:type="dxa"/>
        <w:jc w:val="left"/>
        <w:tblInd w:w="0" w:type="dxa"/>
        <w:tblLayout w:type="fixed"/>
        <w:tblCellMar>
          <w:top w:w="28" w:type="dxa"/>
          <w:left w:w="28" w:type="dxa"/>
          <w:bottom w:w="28" w:type="dxa"/>
          <w:right w:w="28" w:type="dxa"/>
        </w:tblCellMar>
      </w:tblPr>
      <w:tblGrid>
        <w:gridCol w:w="3451"/>
        <w:gridCol w:w="146"/>
        <w:gridCol w:w="358"/>
        <w:gridCol w:w="797"/>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accrual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payments of restructuring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restructuring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of the restructuring charges and related payments for the six months ended June 30, 2025 is as follows (in thousands):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163" w:type="dxa"/>
        <w:jc w:val="left"/>
        <w:tblInd w:w="0" w:type="dxa"/>
        <w:tblLayout w:type="fixed"/>
        <w:tblCellMar>
          <w:top w:w="28" w:type="dxa"/>
          <w:left w:w="28" w:type="dxa"/>
          <w:bottom w:w="28" w:type="dxa"/>
          <w:right w:w="28" w:type="dxa"/>
        </w:tblCellMar>
      </w:tblPr>
      <w:tblGrid>
        <w:gridCol w:w="3551"/>
        <w:gridCol w:w="146"/>
        <w:gridCol w:w="320"/>
        <w:gridCol w:w="835"/>
        <w:gridCol w:w="31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accrual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Restructuring costs expensed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Non-cash impact of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payments of restructuring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restructuring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25.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are organized into one operating and reportable segment dedicated to the global discovery, research, development, and commercialization of highly effective mental health treatments to transform patient outcomes. The Company's Chief Executive Officer is the Company's Chief Operating Decision Maker (“CODM”) and makes key operating decisions and assesses performance on a consolidated basis. The Company's determination that it operates as a single operating segment is consistent with the financial information regularly reviewed by the CODM.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primary operations are located in the United States, United Kingdom, Germany, and Canada. The measure of segment assets is reported on the Company's consolidated balance sheets as total assets. Refer to Note 10, Property and Equipment, for more information regarding the Company's property and equipment assets by geographic region.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not generated any revenues to date from the sale of its product candidates and does not anticipate generating any revenues from the sale of its product candidates unless and until it successfully completes development and obtains regulatory approval to market its product candidates. The Company does recognize revenue through its licenses of intellectual property and development agreements. Refer to Notes 3, Revenue, and 20, License Agreements, for more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Company's single reportable segment, the CODM uses net loss that is reported on the consolidated statements of operations to allocate resources, predominantly during the annual budget and forecasting process. The CODM also uses non-financial inputs and qualitative information to evaluate the Company's performance, establish compensation, monitor budget versus actual results, and decide the level of investment in the Company's various operating activities and other capital allocation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reportable segment net loss, including significant segment expenses, for the three and six months ended June 30, 2026 and 2025 consisted of the following (in thousands): </w:t>
      </w:r>
    </w:p>
    <w:p>
      <w:pPr>
        <w:pStyle w:val="TextBody"/>
        <w:bidi w:val="0"/>
        <w:jc w:val="left"/>
        <w:rPr/>
      </w:pPr>
      <w:r>
        <w:rPr/>
        <w:t> </w:t>
      </w:r>
    </w:p>
    <w:tbl>
      <w:tblPr>
        <w:tblW w:w="10097" w:type="dxa"/>
        <w:jc w:val="left"/>
        <w:tblInd w:w="0" w:type="dxa"/>
        <w:tblLayout w:type="fixed"/>
        <w:tblCellMar>
          <w:top w:w="28" w:type="dxa"/>
          <w:left w:w="28" w:type="dxa"/>
          <w:bottom w:w="28" w:type="dxa"/>
          <w:right w:w="28" w:type="dxa"/>
        </w:tblCellMar>
      </w:tblPr>
      <w:tblGrid>
        <w:gridCol w:w="3911"/>
        <w:gridCol w:w="246"/>
        <w:gridCol w:w="264"/>
        <w:gridCol w:w="921"/>
        <w:gridCol w:w="207"/>
        <w:gridCol w:w="182"/>
        <w:gridCol w:w="264"/>
        <w:gridCol w:w="921"/>
        <w:gridCol w:w="166"/>
        <w:gridCol w:w="146"/>
        <w:gridCol w:w="246"/>
        <w:gridCol w:w="861"/>
        <w:gridCol w:w="194"/>
        <w:gridCol w:w="170"/>
        <w:gridCol w:w="246"/>
        <w:gridCol w:w="861"/>
        <w:gridCol w:w="291"/>
      </w:tblGrid>
      <w:tr>
        <w:trPr/>
        <w:tc>
          <w:tcPr>
            <w:tcW w:w="39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BPL-003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VLS-01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EMP-01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Discovery (Non-hallucinogenic)</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Other programs</w:t>
            </w:r>
            <w:r>
              <w:rPr>
                <w:rFonts w:ascii="Times New Roman" w:hAnsi="Times New Roman"/>
                <w:i/>
                <w:color w:val="000000"/>
                <w:sz w:val="13"/>
              </w:rPr>
              <w:t>(i)</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Personnel and employee-related expenses</w:t>
            </w:r>
            <w:r>
              <w:rPr>
                <w:rFonts w:ascii="Times New Roman" w:hAnsi="Times New Roman"/>
                <w:color w:val="000000"/>
                <w:sz w:val="13"/>
              </w:rPr>
              <w:t>(ii)</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Non-cash share-based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Other Expenses</w:t>
            </w:r>
            <w:r>
              <w:rPr>
                <w:rFonts w:ascii="Times New Roman" w:hAnsi="Times New Roman"/>
                <w:i/>
                <w:color w:val="000000"/>
                <w:sz w:val="13"/>
              </w:rPr>
              <w:t>(iii)</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Personnel and employee-related expenses</w:t>
            </w:r>
            <w:r>
              <w:rPr>
                <w:rFonts w:ascii="Times New Roman" w:hAnsi="Times New Roman"/>
                <w:color w:val="000000"/>
                <w:sz w:val="13"/>
              </w:rPr>
              <w:t>(ii)</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Non-cash share-based compensation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Accounting and Tax Fees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Legal &amp; Intellectual Property Fees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Insurance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Other Expenses</w:t>
            </w:r>
            <w:r>
              <w:rPr>
                <w:rFonts w:ascii="Times New Roman" w:hAnsi="Times New Roman"/>
                <w:i/>
                <w:color w:val="000000"/>
                <w:sz w:val="13"/>
              </w:rPr>
              <w:t>(iii)</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(iv)</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and consolidated 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(32,548</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(i)</w:t>
      </w:r>
      <w:r>
        <w:rPr>
          <w:rFonts w:ascii="Times New Roman" w:hAnsi="Times New Roman"/>
          <w:color w:val="000000"/>
          <w:sz w:val="20"/>
        </w:rPr>
        <w:t xml:space="preserve"> </w:t>
      </w:r>
      <w:r>
        <w:rPr>
          <w:rFonts w:ascii="Times New Roman" w:hAnsi="Times New Roman"/>
          <w:color w:val="000000"/>
          <w:sz w:val="17"/>
        </w:rPr>
        <w:t>Includes direct expenses related to RL-007, PCN-101, IBX-210, Nualtis, and other discovery programs.</w:t>
        <w:br/>
      </w:r>
      <w:r>
        <w:rPr>
          <w:rFonts w:ascii="Times New Roman" w:hAnsi="Times New Roman"/>
          <w:color w:val="000000"/>
          <w:sz w:val="11"/>
        </w:rPr>
        <w:t>(ii)</w:t>
      </w:r>
      <w:r>
        <w:rPr>
          <w:rFonts w:ascii="Times New Roman" w:hAnsi="Times New Roman"/>
          <w:color w:val="000000"/>
          <w:sz w:val="20"/>
        </w:rPr>
        <w:t xml:space="preserve"> </w:t>
      </w:r>
      <w:r>
        <w:rPr>
          <w:rFonts w:ascii="Times New Roman" w:hAnsi="Times New Roman"/>
          <w:color w:val="000000"/>
          <w:sz w:val="17"/>
        </w:rPr>
        <w:t>Includes labor, benefits, and personnel-based restructuring expenses.</w:t>
        <w:br/>
      </w:r>
      <w:r>
        <w:rPr>
          <w:rFonts w:ascii="Times New Roman" w:hAnsi="Times New Roman"/>
          <w:color w:val="000000"/>
          <w:sz w:val="11"/>
        </w:rPr>
        <w:t xml:space="preserve">(iii) </w:t>
      </w:r>
      <w:r>
        <w:rPr>
          <w:rFonts w:ascii="Times New Roman" w:hAnsi="Times New Roman"/>
          <w:color w:val="000000"/>
          <w:sz w:val="17"/>
        </w:rPr>
        <w:t>Includes professional consulting services, facilities costs, technology and communication costs, and other general and administrative costs.</w:t>
        <w:br/>
      </w:r>
      <w:r>
        <w:rPr>
          <w:rFonts w:ascii="Times New Roman" w:hAnsi="Times New Roman"/>
          <w:color w:val="000000"/>
          <w:sz w:val="11"/>
        </w:rPr>
        <w:t>(iv)</w:t>
      </w:r>
      <w:r>
        <w:rPr>
          <w:rFonts w:ascii="Times New Roman" w:hAnsi="Times New Roman"/>
          <w:color w:val="000000"/>
          <w:sz w:val="20"/>
        </w:rPr>
        <w:t xml:space="preserve"> </w:t>
      </w:r>
      <w:r>
        <w:rPr>
          <w:rFonts w:ascii="Times New Roman" w:hAnsi="Times New Roman"/>
          <w:color w:val="000000"/>
          <w:sz w:val="17"/>
        </w:rPr>
        <w:t>Includes benefit from research and development tax credits, change in fair value of assets and liabilities, net, change in</w:t>
      </w:r>
      <w:r>
        <w:rPr>
          <w:rFonts w:ascii="Times New Roman" w:hAnsi="Times New Roman"/>
          <w:color w:val="000000"/>
          <w:sz w:val="20"/>
        </w:rPr>
        <w:t xml:space="preserve"> </w:t>
      </w:r>
      <w:r>
        <w:rPr>
          <w:rFonts w:ascii="Times New Roman" w:hAnsi="Times New Roman"/>
          <w:color w:val="000000"/>
          <w:sz w:val="17"/>
        </w:rPr>
        <w:t>fair value of digital assets, foreign exchange gains (losses), net, other income (expense), net, and provision for income taxes.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26. 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Lilly Merger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15, 2026, the Company entered into an Agreement and Plan of Merger (the “Merger Agreement”) with Eli Lilly and Company, an Indiana corporation (“Lilly”), and Albali Acquisition Corporation, a Delaware corporation and indirect wholly owned subsidiary of Lilly (“Merger Sub”), pursuant to which, subject to satisfaction or waiver of the conditions therein, Merger Sub will merge with and into the Company (the “Merger”), with the Company surviving as a wholly owned subsidiary of Lilly.</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Merger Agreement, and upon the terms and subject to the conditions thereof, at the effective time of the Merger (the “</w:t>
      </w:r>
      <w:r>
        <w:rPr>
          <w:rFonts w:ascii="Times New Roman" w:hAnsi="Times New Roman"/>
          <w:color w:val="000000"/>
          <w:sz w:val="20"/>
          <w:u w:val="single"/>
        </w:rPr>
        <w:t>Effective Time</w:t>
      </w:r>
      <w:r>
        <w:rPr>
          <w:rFonts w:ascii="Times New Roman" w:hAnsi="Times New Roman"/>
          <w:color w:val="000000"/>
          <w:sz w:val="20"/>
        </w:rPr>
        <w:t>”) each share of the Company’s common stock, par value $0.01 per share, issued and outstanding immediately prior to the Effective Time (other than (x) shares held in the treasury of the Company, owned by the Company or any of its subsidiaries, or owned by Lilly, Merger Sub or any of their wholly owned subsidiaries, and (y) Dissenting Shares (as defined in the Merger Agreement)) will be converted into the right to receive (i) $6.75 in cash, without interest and less applicable tax withholdings, plus (ii) one contingent value right (each, a “</w:t>
      </w:r>
      <w:r>
        <w:rPr>
          <w:rFonts w:ascii="Times New Roman" w:hAnsi="Times New Roman"/>
          <w:color w:val="000000"/>
          <w:sz w:val="20"/>
          <w:u w:val="single"/>
        </w:rPr>
        <w:t>CVR</w:t>
      </w:r>
      <w:r>
        <w:rPr>
          <w:rFonts w:ascii="Times New Roman" w:hAnsi="Times New Roman"/>
          <w:color w:val="000000"/>
          <w:sz w:val="20"/>
        </w:rPr>
        <w:t>” and collectively, the “</w:t>
      </w:r>
      <w:r>
        <w:rPr>
          <w:rFonts w:ascii="Times New Roman" w:hAnsi="Times New Roman"/>
          <w:color w:val="000000"/>
          <w:sz w:val="20"/>
          <w:u w:val="single"/>
        </w:rPr>
        <w:t>CVRs</w:t>
      </w:r>
      <w:r>
        <w:rPr>
          <w:rFonts w:ascii="Times New Roman" w:hAnsi="Times New Roman"/>
          <w:color w:val="000000"/>
          <w:sz w:val="20"/>
        </w:rPr>
        <w:t>”), representing the right to receive up to an aggregate of $2.50 in cash per CVR upon achievement, if any, of specified clinical and regulatory milestones, payable in accordance with the terms of a Contingent Value Rights Agreement to be entered into between Lilly and a rights agent selected by Lilly and reasonably acceptable to the Company, less any applicable tax withholding. Each CVR will entitle its holder to the following cash payments conditioned on achievement within specific time periods: (1) up to $1.00 per share upon initiation of a Phase 3 clinical trial of VLS-01 prior to the 4</w:t>
      </w:r>
      <w:r>
        <w:rPr>
          <w:rFonts w:ascii="Times New Roman" w:hAnsi="Times New Roman"/>
          <w:color w:val="000000"/>
          <w:sz w:val="13"/>
        </w:rPr>
        <w:t>th</w:t>
      </w:r>
      <w:r>
        <w:rPr>
          <w:rFonts w:ascii="Times New Roman" w:hAnsi="Times New Roman"/>
          <w:color w:val="000000"/>
          <w:sz w:val="20"/>
        </w:rPr>
        <w:t xml:space="preserve"> anniversary of the Closing (as defined in the Merger Agreement), (2) up to $0.50 per share upon U.S. regulatory approval and Drug Enforcement Agency (“</w:t>
      </w:r>
      <w:r>
        <w:rPr>
          <w:rFonts w:ascii="Times New Roman" w:hAnsi="Times New Roman"/>
          <w:color w:val="000000"/>
          <w:sz w:val="20"/>
          <w:u w:val="single"/>
        </w:rPr>
        <w:t>DEA</w:t>
      </w:r>
      <w:r>
        <w:rPr>
          <w:rFonts w:ascii="Times New Roman" w:hAnsi="Times New Roman"/>
          <w:color w:val="000000"/>
          <w:sz w:val="20"/>
        </w:rPr>
        <w:t>”) rescheduling of BPL-003 prior to the 5</w:t>
      </w:r>
      <w:r>
        <w:rPr>
          <w:rFonts w:ascii="Times New Roman" w:hAnsi="Times New Roman"/>
          <w:color w:val="000000"/>
          <w:sz w:val="13"/>
        </w:rPr>
        <w:t>th</w:t>
      </w:r>
      <w:r>
        <w:rPr>
          <w:rFonts w:ascii="Times New Roman" w:hAnsi="Times New Roman"/>
          <w:color w:val="000000"/>
          <w:sz w:val="20"/>
        </w:rPr>
        <w:t xml:space="preserve"> anniversary of the Closing and (3) up to $1.00 per share upon U.S. regulatory approval and DEA rescheduling of VLS-01 prior to the 7</w:t>
      </w:r>
      <w:r>
        <w:rPr>
          <w:rFonts w:ascii="Times New Roman" w:hAnsi="Times New Roman"/>
          <w:color w:val="000000"/>
          <w:sz w:val="13"/>
        </w:rPr>
        <w:t>th</w:t>
      </w:r>
      <w:r>
        <w:rPr>
          <w:rFonts w:ascii="Times New Roman" w:hAnsi="Times New Roman"/>
          <w:color w:val="000000"/>
          <w:sz w:val="20"/>
        </w:rPr>
        <w:t xml:space="preserve"> anniversary of the Closing. There can be no assurance that any payments will be made with respect to the CVR.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Merger Agreement contains customary covenants and agreements, including with respect to the operations of the business of the Company between signing and closing. The Merger is expected to close in the third quarter of 2026, subject to customary closing conditions, including approval by the Company’s stockholders and regulatory approvals. The Merger is not subject to any financing condition. The Merger Agreement includes customary termination rights for the Company and Lilly. Upon termination of the Merger Agreement in certain circumstances, the Company will be required to pay Lilly a termination fee of $104.3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15, 2026, in connection with the execution and delivery of the Merger Agreement, Lilly entered into separate voting and support agreements (collectively, the “Support Agreements”) with (1) each of the Company’s directors and officers (the “D&amp;O Signatories”) and (2) Apeiron Investment Group Ltd. (together with the D&amp;O Signatories, the “Support Agreement Signatories”). The Support Agreements provide that, among other things, each of the Support Agreement Signatories has agreed (i) to vote all of the shares of the Company’s common stock held by such stockholder in favor of the adoption and approval of the Merger Agreement, subject to certain exceptions (including the valid termination of the Merger Agreement), (ii) not to transfer such shares of common stock, subject to certain exceptions, and (iii) to certain other restrictions on its ability to take actions with respect to the Company and its shares of the Company’s common stock.</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3" w:name="mda"/>
      <w:bookmarkEnd w:id="13"/>
      <w:r>
        <w:rPr>
          <w:rFonts w:ascii="Times New Roman" w:hAnsi="Times New Roman"/>
          <w:b/>
          <w:color w:val="000000"/>
          <w:sz w:val="20"/>
        </w:rPr>
        <w:t>Item 2. Management’s Discussion and Analysis of Fina</w:t>
      </w:r>
      <w:bookmarkStart w:id="14" w:name="item_7_mda"/>
      <w:bookmarkEnd w:id="14"/>
      <w:r>
        <w:rPr>
          <w:rFonts w:ascii="Times New Roman" w:hAnsi="Times New Roman"/>
          <w:b/>
          <w:color w:val="000000"/>
          <w:sz w:val="20"/>
        </w:rPr>
        <w:t>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thereto included in this Quarterly Report and our audited consolidated financial statements and related notes thereto for the year ended December 31, 2025, included in our Form 10-K (the “Annual Report”) filed with the SEC on March 6, 2026.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section titled “Risk Factors” in our Annual Report as may be updated from time to time in our other filings with the SEC.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Proposed Acquisition by Eli Lilly and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15, 2026, the Company entered into an Agreement and Plan of Merger (the “Merger Agreement”) with Eli Lilly and Company, an Indiana corporation (“Lilly”), and Albali Acquisition Corporation, a Delaware corporation and indirect wholly owned subsidiary of Lilly (“Merger Sub”), pursuant to which, subject to satisfaction or waiver of the conditions therein, Merger Sub will merge with and into the Company (the “Merger”), with the Company surviving as a wholly owned subsidiary of Lilly.</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Merger Agreement, and upon the terms and subject to the conditions thereof, at the effective time of the Merger (the “</w:t>
      </w:r>
      <w:r>
        <w:rPr>
          <w:rFonts w:ascii="Times New Roman" w:hAnsi="Times New Roman"/>
          <w:color w:val="000000"/>
          <w:sz w:val="20"/>
          <w:u w:val="single"/>
        </w:rPr>
        <w:t>Effective Time</w:t>
      </w:r>
      <w:r>
        <w:rPr>
          <w:rFonts w:ascii="Times New Roman" w:hAnsi="Times New Roman"/>
          <w:color w:val="000000"/>
          <w:sz w:val="20"/>
        </w:rPr>
        <w:t>”) each share of AtaiBeckley’s common stock, par value $0.01 per share, issued and outstanding immediately prior to the Effective Time (other than (x) shares held in the treasury of the Company, owned by the Company or any of its subsidiaries, or owned by Lilly, Merger Sub or any of their wholly owned subsidiaries, and (y) Dissenting Shares (as defined in the Merger Agreement)) will be converted into the right to receive (i) $6.75 in cash, without interest and less applicable tax withholdings, plus (ii) one contingent value right (each, a “</w:t>
      </w:r>
      <w:r>
        <w:rPr>
          <w:rFonts w:ascii="Times New Roman" w:hAnsi="Times New Roman"/>
          <w:color w:val="000000"/>
          <w:sz w:val="20"/>
          <w:u w:val="single"/>
        </w:rPr>
        <w:t>CVR</w:t>
      </w:r>
      <w:r>
        <w:rPr>
          <w:rFonts w:ascii="Times New Roman" w:hAnsi="Times New Roman"/>
          <w:color w:val="000000"/>
          <w:sz w:val="20"/>
        </w:rPr>
        <w:t>” and collectively, the “</w:t>
      </w:r>
      <w:r>
        <w:rPr>
          <w:rFonts w:ascii="Times New Roman" w:hAnsi="Times New Roman"/>
          <w:color w:val="000000"/>
          <w:sz w:val="20"/>
          <w:u w:val="single"/>
        </w:rPr>
        <w:t>CVRs</w:t>
      </w:r>
      <w:r>
        <w:rPr>
          <w:rFonts w:ascii="Times New Roman" w:hAnsi="Times New Roman"/>
          <w:color w:val="000000"/>
          <w:sz w:val="20"/>
        </w:rPr>
        <w:t>”), representing the right to receive up to an aggregate of $2.50 in cash per CVR upon achievement, if any, of specified clinical and regulatory milestones, payable in accordance with the terms of a Contingent Value Rights Agreement to be entered into between Lilly and a rights agent selected by Lilly and reasonably acceptable to the Company, less any applicable tax withholding. Each CVR will entitle its holder to the following cash payments conditioned on achievement within specific time periods: (1) up to $1.00 per share upon initiation of a Phase 3 clinical trial of VLS-01 prior to the 4</w:t>
      </w:r>
      <w:r>
        <w:rPr>
          <w:rFonts w:ascii="Times New Roman" w:hAnsi="Times New Roman"/>
          <w:color w:val="000000"/>
          <w:sz w:val="13"/>
        </w:rPr>
        <w:t>th</w:t>
      </w:r>
      <w:r>
        <w:rPr>
          <w:rFonts w:ascii="Times New Roman" w:hAnsi="Times New Roman"/>
          <w:color w:val="000000"/>
          <w:sz w:val="20"/>
        </w:rPr>
        <w:t xml:space="preserve"> anniversary of the Closing (as defined in the Merger Agreement), (2) up to $0.50 per share upon U.S. regulatory approval and Drug Enforcement Agency (“</w:t>
      </w:r>
      <w:r>
        <w:rPr>
          <w:rFonts w:ascii="Times New Roman" w:hAnsi="Times New Roman"/>
          <w:color w:val="000000"/>
          <w:sz w:val="20"/>
          <w:u w:val="single"/>
        </w:rPr>
        <w:t>DEA</w:t>
      </w:r>
      <w:r>
        <w:rPr>
          <w:rFonts w:ascii="Times New Roman" w:hAnsi="Times New Roman"/>
          <w:color w:val="000000"/>
          <w:sz w:val="20"/>
        </w:rPr>
        <w:t>”) rescheduling of BPL-003 prior to the 5</w:t>
      </w:r>
      <w:r>
        <w:rPr>
          <w:rFonts w:ascii="Times New Roman" w:hAnsi="Times New Roman"/>
          <w:color w:val="000000"/>
          <w:sz w:val="13"/>
        </w:rPr>
        <w:t>th</w:t>
      </w:r>
      <w:r>
        <w:rPr>
          <w:rFonts w:ascii="Times New Roman" w:hAnsi="Times New Roman"/>
          <w:color w:val="000000"/>
          <w:sz w:val="20"/>
        </w:rPr>
        <w:t xml:space="preserve"> anniversary of the Closing and (3) up to $1.00 per share upon U.S. regulatory approval and DEA rescheduling of VLS-01 prior to the 7</w:t>
      </w:r>
      <w:r>
        <w:rPr>
          <w:rFonts w:ascii="Times New Roman" w:hAnsi="Times New Roman"/>
          <w:color w:val="000000"/>
          <w:sz w:val="13"/>
        </w:rPr>
        <w:t>th</w:t>
      </w:r>
      <w:r>
        <w:rPr>
          <w:rFonts w:ascii="Times New Roman" w:hAnsi="Times New Roman"/>
          <w:color w:val="000000"/>
          <w:sz w:val="20"/>
        </w:rPr>
        <w:t xml:space="preserve"> anniversary of the Closing. There can be no assurance that any payments will be made with respect to the CVR.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is not subject to any financing condition and is expected to close in the third quarter of 2026, subject to approval by AtaiBeckley stockholders and satisfaction of other customary closing conditions, including regulatory approvals. For additional information, see Note 26, Subsequent Events in our unaudited condensed consolidated financial statements appearing under Part I, Item 1 and Part II, Item 1A, Risk Factors.</w:t>
      </w:r>
    </w:p>
    <w:p>
      <w:pPr>
        <w:pStyle w:val="TextBody"/>
        <w:bidi w:val="0"/>
        <w:spacing w:before="12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Founded in 2025 through the strategic combination of atai Life Sciences N.V. and Beckley Psytech Limited, AtaiBeckley is a clinical-stage biotechnology company on a mission to create breakthroughs for people with difficult-to-treat mental health conditions. Our work is grounded in rigorous science to deliver meaningful outcomes for the patients we 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Mental health disorders are highly prevalent and estimated to affect more than one billion people globally. The economic burden of these disorders is substantial and is growing rapidly. Between 2009 and 2019, spending on mental health care in the United States increased by more than 50%, reaching $225 billion, and a Lancet Commission report estimates that the global economic cost will reach $16 trillion by 2030. While current treatments, such as selective serotonin reuptake inhibitors (“SSRIs”) and serotonin-norepinephrine reuptake inhibitors (“SNRIs”) are well established and effective for certain patients, approximately 65% of patients do not achieve remission of their symptoms after up to four antidepressant treatment trials, translating to a significant unmet medical need.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30, 2025, as part of the previously announced plan to change our corporate domicile from the Netherlands to the United States via Luxembourg (the “Redomiciliation Transaction”), as approved by our shareholders, we merged with and into atai Life Sciences Luxembourg S.A., a Luxembourg public limited liability company (“atai LuxCo”), which then immediately consummated the conversion of atai LuxCo into a corporation incorporated under the laws of the State of Delaware under the name AtaiBeckley Inc. As a result of the Redomiciliation Transaction, AtaiBeckley Inc. became the successor issuer to Atai Beckley N.V. pursuant to Rule 12g</w:t>
        <w:noBreakHyphen/>
        <w:t>3(a) under the Exchange Act.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aim to create breakthroughs in mental health by developing effective, rapid-acting and convenient treatments that could transform patient outcomes. We are committed to leading a new era of mental health treatment – one that not only offers relief from symptoms, but the possibility of an improved quality of life and lasting change.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built a diversified pipeline of investigational psychedelic-based neuroplastogens designed to address some of the most urgent unmet needs in mental health. Our programs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BPL-003: Mebufotenin (5-MeO-DMT) benzoate nasal spray;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VLS-01: Dimethyltryptamine (“DMT”) buccal film;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EMP-01: Oral R-enantiomer of 3,4-methylenedioxy-methamphetamine (“R-MDMA”);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drug discovery program to identify novel, non-hallucinogenic 5-HT2AR agonists</w:t>
      </w:r>
      <w:r>
        <w:rPr>
          <w:strike/>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psychedelics are emerging as novel breakthrough therapies for mental health disorders, such as depression, supported by growing scientific evidence, recent regulatory advancements and increasing patient and physician acceptance. Clinical studies have demonstrated the potential safety and efficacy profile of psychedelics, particularly their rapid onset of effect and sustained efficacy after a short course of administration. We believe these programs, which include both novel molecular entities and optimized variants of known compounds, have the potential to address significant unmet needs in mental health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innovation in the mental health space as exemplified by our drug discovery program and its focus on identifying new molecules with psychedelic-like pharmacology but without hallucinogenic potential. In addition to these investments in novel chemical entity ("NCE") discovery, intellectual property development has been a key strategic component since inception.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pipeline includes wholly owned psychedelic-based product candidates across multiple neuropsychiatric indications, including depression and anxiety. The following summarizes the status of our programs as of the date of this Quarterly Report:</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BPL-003: Mebufotenin benzoate nasal spray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BPL-003 Phase 3 activities in treatment-resistant depression (“TRD”) have been initiated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Phase 3 program consists of two pivotal studies: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ReConnection</w:t>
        <w:noBreakHyphen/>
        <w:t>1 (approximately 350 patients)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ReConnection</w:t>
        <w:noBreakHyphen/>
        <w:t>2 (approximately 230 patients)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Primary endpoint: change from baseline in MADRS total score at Week 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Both studies include a 52</w:t>
        <w:noBreakHyphen/>
        <w:t>week open</w:t>
        <w:noBreakHyphen/>
        <w:t>label extension, allowing individualized 8mg BPL-003 retreatment at 8-week or 12-week intervals with the aim of maintaining remission and evaluating durability and longer</w:t>
        <w:noBreakHyphen/>
        <w:t>term safety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Phase 2a Part 4 (two</w:t>
        <w:noBreakHyphen/>
        <w:t>dose induction and SSRIs) cohort initial data on track for Q4 2026</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VLS-01: DMT buccal film</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Elumina Phase 2b study in TRD advancing with last patient dosed; topline results anticipated in Q4 2026</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EMP-01: Oral R-MDMA</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EMP-01 Phase 2a study in SAD completed; topline and additional Phase 2a results previously reported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Discovery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Novel, non-hallucinogenic 5-HT2A/2C agonist program received Notice of Award under NIDA-funded grant for opioid use disorder; enters second year of milestone-driven development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and do not expect to generate any revenue from the sale of our core psychedelic product candidates or non-psychedelic product candidates unless and until such time that these product candidates have advanced through clinical development and regulatory approval, if ever. We expect that any revenue we may generate, if at all, will fluctuate from year-to-year as a result of the timing and amount of payments relating to such services and milestones and the extent to which any of our products are approved and successfully commercialized. Our ability to generate future revenues will also depend on our ability to complete preclinical and clinical development of product candidates or obtain regulatory approval for them.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Nualtis Corp. (“Nualtis”), a wholly owned subsidiary, is a drug delivery company focused on the development and manufacturing of novel oral thin film products for the pharmaceutical market and for our development candidate, VLS-01. As a full service contract development and manufacturing organization, Nualtis offers services that include pharmaceutical research and development and the manufacturing of pharmaceutical products by leveraging its proprietary drug delivery technologies. Nualtis recognizes license revenue from the use of its proprietary drug delivery technologies in its customers' products.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Nualtis also recognizes revenue from various research and development agreements. In these agreements, Nualtis is responsible for performing research and development services for customers interested in leveraging Nualtis' novel oral thin film technology for drug delivery. Many of these agreements provide Nualtis either the option or the right to serve as the sole manufacturer of these drugs upon regulatory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discovery efforts and the development of our product candidates,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related benefits, and stock-based compensation, for employees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the preclinical and clinical development of our product candidates, including our agreements with third parties, such as consultants and contract research organizations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consultants who supplement our internal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laboratory supplies and acquiring, developing, and manufacturing preclinical study materials and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in connection with third-party licensing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amortization, and other direct or allocated expenses, including rent, insurance, and other operating costs, incurred as a result of our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We account for non-refundable advance payments for goods and services that will be used in future research and development activities as expenses when the service has been performed or when the goods have been received. Qualifying research and development expenditures reimbursements under government grants are netted against research and development expenses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 research and development expenses are tracked on a program-by-program basis for our product candidates and consist primarily of external costs, such as fees paid to outside consultants, CROs, contract manufacturing organizations (“CMOs”), and research laboratories in connection with our preclinical development, process development, manufacturing, and clinical development activities. Our direct research and development expenses by program also include fees incurred under third-party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internal research and development expenses consisting of employee and contractor-related costs are not allocated to specific product candidate programs because these costs are deployed across multiple product candidate programs under 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Assuming we continue to operate as an independent company, we expect that our research and development expenses will continue to increase for the foreseeable future in connection with our planned preclinical and clinical development activities in the near term and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product candidates is highly uncertain. As such, at this time, we cannot reasonably estimate or know the nature, timing and estimated costs of the efforts that will be necessary to complete the remainder of the development of these product candidates. We are also unable to predict when, if ever, material net cash inflows will commence from our product candidates. This is due to the numerous risks and uncertainties associated with developing products, including the uncertainty of whether (i) any clinical trials will be conducted or progress as planned or completed on schedule, if at all, (ii) we obtain regulatory approval for our product candidates, and (iii) we successfully commercialize product candidates.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employee-related expenses, including salaries, related benefits, and stock-based compensation, for personnel in our executive, finance, legal, business development, and administrative functions. General and administrative expenses also include legal fees relating to corporate matters and intellectual property, professional fees for accounting, auditing, tax, human resources, administrative consulting services, insurance costs, information technology-related expenses, travel expenses, and facility-related expenses, which include direct depreciation costs and allocated expenses for office rent and other operating costs. General and administrative expenses also reflect sublease income that is used to offset the cost for facility rent and other operating costs.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interest earned on cash balances held in interest-bearing accounts. We expect that our interest income will fluctuate based on the timing and ability to raise additional funds as well as the amount of expenditures for the research and development of our product candidates and ongoing business operations.</w:t>
      </w:r>
    </w:p>
    <w:p>
      <w:pPr>
        <w:pStyle w:val="TextBody"/>
        <w:bidi w:val="0"/>
        <w:spacing w:before="120" w:after="12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Interest expense consists of interest expense incurred in connection with our 2022 term loan facility with Hercules Capital, Inc. (the “2022 Term Loan Facility”), which was terminated in May 2025.</w:t>
      </w:r>
    </w:p>
    <w:p>
      <w:pPr>
        <w:pStyle w:val="TextBody"/>
        <w:bidi w:val="0"/>
        <w:spacing w:before="120" w:after="120"/>
        <w:jc w:val="left"/>
        <w:rPr>
          <w:rFonts w:ascii="Times New Roman" w:hAnsi="Times New Roman"/>
          <w:sz w:val="20"/>
        </w:rPr>
      </w:pPr>
      <w:r>
        <w:rPr>
          <w:rFonts w:ascii="Times New Roman" w:hAnsi="Times New Roman"/>
          <w:i/>
          <w:color w:val="000000"/>
          <w:sz w:val="20"/>
        </w:rPr>
        <w:t>Benefit from research and development tax credits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Benefit from research and development tax credits consists of tax credits received in Australia, Canada, and the United Kingdom. Qualifying expenditures include employment costs for research staff, consumables, and relevant, permitted CRO costs incurred as part of research projects.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Change in fair value of assets and liabilities, net:</w:t>
      </w:r>
    </w:p>
    <w:p>
      <w:pPr>
        <w:pStyle w:val="TextBody"/>
        <w:bidi w:val="0"/>
        <w:jc w:val="left"/>
        <w:rPr>
          <w:rFonts w:ascii="Times New Roman" w:hAnsi="Times New Roman"/>
          <w:color w:val="000000"/>
          <w:sz w:val="20"/>
        </w:rPr>
      </w:pPr>
      <w:r>
        <w:rPr>
          <w:rFonts w:ascii="Times New Roman" w:hAnsi="Times New Roman"/>
          <w:color w:val="000000"/>
          <w:sz w:val="20"/>
        </w:rPr>
        <w:t>The Company carries various assets and liabilities at fair value and subsequent remeasurements are recorded as a Change in fair value of assets and liabilities, net as a component of Other expense, net. Assets held at fair value include securities held at fair value and investments held at fair value. Liabilities held at fair value include convertible promissory notes, contingent considerations, derivative liability, and pre-funded warrant liabilities. The components of change in fair value of assets and liabilities, net include:</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securities carried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securities consists of changes in fair value of our available for sale securities, for which we have elected the fair value option.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other investments held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other current investment held at fair value consists of subsequent remeasurements of our investment in COMPASS Pathways plc (“COMPASS”), for which we have elected the fair value option, as well as additional contingent warrants held with Beckley Psytech prior to our acquisition of Beckley Psytech in November 2025.</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promissory notes and derivative liability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short-term convertible promissory notes and derivative liability consists of subsequent remeasurements of certain convertible notes issued in 2020 to a related party prior to their conversion in September 2025.</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promissory notes and derivative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short-term convertible promissory notes and derivative liability consists of subsequent remeasurements of certain convertible notes issued in 2020 prior to their conversion in September 2025.</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pre-funded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pre-funded warrant liabilities consists of subsequent remeasurements of our pre-funded warrants issued pursuant to the June and July 2025 PIPE Financings, which we record at fair value.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Gain on other investments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Gain on other investments consists of a gain recognized on our additional investment in Beckley Psytech upon the issuance of deferred shares pursuant to the deferred payment escrow agreement, dated as of January 3, 2024, with Beckley Psytech (“Escrow Agreement”).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 in fair value of digital assets, net</w:t>
      </w:r>
    </w:p>
    <w:p>
      <w:pPr>
        <w:pStyle w:val="TextBody"/>
        <w:bidi w:val="0"/>
        <w:jc w:val="left"/>
        <w:rPr>
          <w:rFonts w:ascii="Times New Roman" w:hAnsi="Times New Roman"/>
          <w:color w:val="000000"/>
          <w:sz w:val="20"/>
        </w:rPr>
      </w:pPr>
      <w:r>
        <w:rPr>
          <w:rFonts w:ascii="Times New Roman" w:hAnsi="Times New Roman"/>
          <w:color w:val="000000"/>
          <w:sz w:val="20"/>
        </w:rPr>
        <w:t>Change in fair value of digital assets, net consists of the subsequent remeasurement of our Bitcoin holding, as Bitcoin is measured at fair value based on quoted prices on active exchanges pursuant to ASC 350-60.</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Loss on extinguishment of debt represents the difference between the net carrying amount and the redemption amount related to our early repayment of all outstanding obligations under our 2022 Term Loan Facility pursuant to ASC 405-20.</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Foreign exchange gain (loss), net</w:t>
      </w:r>
    </w:p>
    <w:p>
      <w:pPr>
        <w:pStyle w:val="TextBody"/>
        <w:bidi w:val="0"/>
        <w:jc w:val="left"/>
        <w:rPr>
          <w:rFonts w:ascii="Times New Roman" w:hAnsi="Times New Roman"/>
          <w:color w:val="000000"/>
          <w:sz w:val="20"/>
        </w:rPr>
      </w:pPr>
      <w:r>
        <w:rPr>
          <w:rFonts w:ascii="Times New Roman" w:hAnsi="Times New Roman"/>
          <w:color w:val="000000"/>
          <w:sz w:val="20"/>
        </w:rPr>
        <w:t xml:space="preserve">Foreign exchange gain, net consists of the impact of changes in foreign currency exchange rates on our foreign exchange denominated assets and liabilities, relative to the U.S. dollar. The impact of foreign currency exchange rates on our results of operations fluctuates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 over period based on our foreign currency exposures resulting from changes in applicable exchange rates associated with our foreign denominated assets and liabilities.</w:t>
      </w:r>
    </w:p>
    <w:p>
      <w:pPr>
        <w:pStyle w:val="TextBody"/>
        <w:bidi w:val="0"/>
        <w:spacing w:before="120" w:after="120"/>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Other expense, net consists principally of the changes in the carrying values of our assets and liabilities, issuance costs allocated to warrant liabilities, and net gains (losses) recognized on the sale of certain of our assets.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recorded any U.S. federal, foreign, or state income tax benefits for the net losses we have incurred in each year or for our earned research and development tax credits, as it is more likely-than-not that these benefits will not be realized. We have U.S. federal and state net operating loss carryforwards and research and development tax credit carryforwards to offset future taxable income.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taxes are determined at the applicable tax rates adjusted for non-deductible expenses, research and development tax credits and other permanent differences. Our income tax provision may be significantly affected by changes to our estimates.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Attributable to 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attributable to noncontrolling interests consists of the portion of net loss that is allocated to the noncontrolling interests of certain consolidated variable interest entities (“VIEs”). Net losses in consolidated VIEs are attributed to noncontrolling interests considering the liquidation preferences of the different classes of equity held by the shareholders in the VIE and their respective interests in the net assets of the consolidated VIE in the event of liquidation, and their pro rata ownership. Changes in the amount of net loss attributable to noncontrolling interests are directly impacted by changes in the net loss of our VIEs and our ownership percentage changes.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8"/>
        <w:gridCol w:w="146"/>
        <w:gridCol w:w="258"/>
        <w:gridCol w:w="901"/>
        <w:gridCol w:w="202"/>
        <w:gridCol w:w="178"/>
        <w:gridCol w:w="258"/>
        <w:gridCol w:w="901"/>
        <w:gridCol w:w="166"/>
        <w:gridCol w:w="146"/>
        <w:gridCol w:w="211"/>
        <w:gridCol w:w="736"/>
        <w:gridCol w:w="166"/>
        <w:gridCol w:w="146"/>
        <w:gridCol w:w="189"/>
        <w:gridCol w:w="682"/>
        <w:gridCol w:w="771"/>
      </w:tblGrid>
      <w:tr>
        <w:trPr/>
        <w:tc>
          <w:tcPr>
            <w:tcW w:w="4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research and development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8539</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digital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gain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AtaiBeckley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(32,524</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License Revenue</w:t>
      </w:r>
    </w:p>
    <w:p>
      <w:pPr>
        <w:pStyle w:val="TextBody"/>
        <w:bidi w:val="0"/>
        <w:jc w:val="left"/>
        <w:rPr>
          <w:rFonts w:ascii="Times New Roman" w:hAnsi="Times New Roman"/>
          <w:color w:val="000000"/>
          <w:sz w:val="20"/>
        </w:rPr>
      </w:pPr>
      <w:r>
        <w:rPr>
          <w:rFonts w:ascii="Times New Roman" w:hAnsi="Times New Roman"/>
          <w:color w:val="000000"/>
          <w:sz w:val="20"/>
        </w:rPr>
        <w:t>We recognized $0.4 million of license revenue for the three months ended June 30, 2026, primarily related to Nualtis' license agreements with Rizafilm LLC. We did not recognize any license revenue for the three months ended June 30, 2025.</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Research and Development Services Revenue</w:t>
      </w:r>
    </w:p>
    <w:p>
      <w:pPr>
        <w:pStyle w:val="TextBody"/>
        <w:bidi w:val="0"/>
        <w:jc w:val="left"/>
        <w:rPr>
          <w:rFonts w:ascii="Times New Roman" w:hAnsi="Times New Roman"/>
          <w:color w:val="000000"/>
          <w:sz w:val="20"/>
        </w:rPr>
      </w:pPr>
      <w:r>
        <w:rPr>
          <w:rFonts w:ascii="Times New Roman" w:hAnsi="Times New Roman"/>
          <w:color w:val="000000"/>
          <w:sz w:val="20"/>
        </w:rPr>
        <w:t xml:space="preserve">We recognized $1.3 million and $0.7 million of research and development services revenue for the three months ended June 30, 2026 and 2025, respectively, related to certain research and development services performed by Nualtis for its customers. </w:t>
      </w:r>
    </w:p>
    <w:p>
      <w:pPr>
        <w:pStyle w:val="TextBody"/>
        <w:bidi w:val="0"/>
        <w:spacing w:before="120" w:after="12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left"/>
        <w:rPr>
          <w:rFonts w:ascii="Times New Roman" w:hAnsi="Times New Roman"/>
          <w:color w:val="000000"/>
          <w:sz w:val="20"/>
        </w:rPr>
      </w:pPr>
      <w:r>
        <w:rPr>
          <w:rFonts w:ascii="Times New Roman" w:hAnsi="Times New Roman"/>
          <w:color w:val="000000"/>
          <w:sz w:val="20"/>
        </w:rPr>
        <w:t>The table and discussion below present research and development expenses for the three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91"/>
        <w:gridCol w:w="146"/>
        <w:gridCol w:w="274"/>
        <w:gridCol w:w="880"/>
        <w:gridCol w:w="190"/>
        <w:gridCol w:w="190"/>
        <w:gridCol w:w="274"/>
        <w:gridCol w:w="880"/>
        <w:gridCol w:w="146"/>
        <w:gridCol w:w="146"/>
        <w:gridCol w:w="211"/>
        <w:gridCol w:w="676"/>
        <w:gridCol w:w="166"/>
        <w:gridCol w:w="146"/>
        <w:gridCol w:w="224"/>
        <w:gridCol w:w="647"/>
        <w:gridCol w:w="718"/>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BPL-003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VLS-01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and consulting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 and facilities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$28.1 million for the three months ended June 30, 2026, compared to $11.1 million for the three months ended June 30, 2025. The increase of $17.0 million was primarily attributable to a $12.1 million net increase in the direct costs of our programs as discussed below, a $4.5 million increase in personnel and related expenses (inclusive of a $2.1 million increase in stock-based compensation) primarily driven by increased headcount following our strategic combination with Beckley Psytech in November 2025, a $0.3 million increase in other expenses, and a $0.1 million increase in depreciation expense.</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BPL-003: Mebufotenin for TRD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attributed to BPL-003 represent direct costs related to the ongoing development activities of BPL-003, which have initiated Phase 3 activities in the second quarter of 2026. Direct costs include $8.3 million of clinical development and related costs, $1.5 million of manufacturing costs, and $0.3 million of preclinical development costs.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VLS-01: DMT for TRD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$4.8 million increase in direct costs for our VLS-01 program was primarily due to a $4.4 million increase in clinical development and related costs for our Elumina trial, the randomized, double-blind, placebo-controlled Phase 2b clinical trial of VLS-01, a $0.3 million increase in manufacturing costs, and a $0.1 million increase in preclinical development costs.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EMP-01: R-MDMA for SAD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$0.7 million decrease in direct costs for our EMP-01 program was primarily due to a $1.3 million decrease in clinical development costs relating to our completed exploratory, randomized, double-blind, placebo-controlled Phase 2a study in the United Kingdom that assessed the safety, tolerability and efficacy of EMP-01. These costs were partially offset by a $0.5 million increase in manufacturing costs, and a $0.1 million increase in preclinical development costs.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Discovery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$0.1 million net increase in discovery costs was primarily due to a $0.9 million increase in preclinical development costs related to our novel 5-HT2A receptor agonists. These costs were partially offset by a $0.8 million decrease in our discovery program’s research and development expenses as certain expenses qualified for reimbursement under our National Institute on Drug Abuse, part of the National Institutes of Health.</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Other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$2.1 million decrease in direct costs for our other programs was primarily due to a $2.1 million decrease in direct costs for our RL-007 program, which is driven by a decrease in clinical development and related costs for our completed Phase 2b clinical trial for RL-007 in cognitive impairment associated with schizophrenia and a $0.3 million decrease in direct costs for Nualtis. These decreases were partially offset by a $0.3 million increase related to various other programs.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were $17.8 million for the three months ended June 30, 2026 compared to $14.9 million for the three months ended June 30, 2025. The $2.9 million increase was largely attributable to a $2.7 million increase in personnel and related costs (inclusive of a $2.6 million increase in stock-based compensation) and a $0.2 million increase in legal, intellectual property, and professional service expenses.</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Interest income</w:t>
      </w:r>
    </w:p>
    <w:p>
      <w:pPr>
        <w:pStyle w:val="TextBody"/>
        <w:bidi w:val="0"/>
        <w:jc w:val="left"/>
        <w:rPr>
          <w:rFonts w:ascii="Times New Roman" w:hAnsi="Times New Roman"/>
          <w:color w:val="000000"/>
          <w:sz w:val="20"/>
        </w:rPr>
      </w:pPr>
      <w:r>
        <w:rPr>
          <w:rFonts w:ascii="Times New Roman" w:hAnsi="Times New Roman"/>
          <w:color w:val="000000"/>
          <w:sz w:val="20"/>
        </w:rPr>
        <w:t>Interest income for the three months ended June 30, 2026 and 2025 primarily consisted of interest earned on our cash balances. We recognized interest income of $0.1 million and $0.2 million for the three months ended June 30, 2026 and 2025, respectively.</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Interest expense</w:t>
      </w:r>
    </w:p>
    <w:p>
      <w:pPr>
        <w:pStyle w:val="TextBody"/>
        <w:bidi w:val="0"/>
        <w:jc w:val="left"/>
        <w:rPr>
          <w:rFonts w:ascii="Times New Roman" w:hAnsi="Times New Roman"/>
          <w:color w:val="000000"/>
          <w:sz w:val="20"/>
        </w:rPr>
      </w:pPr>
      <w:r>
        <w:rPr>
          <w:rFonts w:ascii="Times New Roman" w:hAnsi="Times New Roman"/>
          <w:color w:val="000000"/>
          <w:sz w:val="20"/>
        </w:rPr>
        <w:t xml:space="preserve">We did not recognize interest expense for the three months ended June 30, 2026. We recognized $0.3 million of interest expense for the three months ended June 30, 2025, which consisted of interest expense incurred in connection with our 2022 Term Loan Facility that was terminated in May 2025.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Benefit from research and development tax credits</w:t>
      </w:r>
    </w:p>
    <w:p>
      <w:pPr>
        <w:pStyle w:val="TextBody"/>
        <w:bidi w:val="0"/>
        <w:jc w:val="left"/>
        <w:rPr>
          <w:rFonts w:ascii="Times New Roman" w:hAnsi="Times New Roman"/>
          <w:color w:val="000000"/>
          <w:sz w:val="20"/>
        </w:rPr>
      </w:pPr>
      <w:r>
        <w:rPr>
          <w:rFonts w:ascii="Times New Roman" w:hAnsi="Times New Roman"/>
          <w:color w:val="000000"/>
          <w:sz w:val="20"/>
        </w:rPr>
        <w:t>We recognized, in total, $2.4 million in research and development tax credits from tax authorities in Canada, Australia, and the United Kingdom for the three months ended June 30, 2026. We recognized an immaterial benefit for research and development tax credits from tax authorities in Canada and Australia for the three months ended June 30, 2025.</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Change in fair value of assets and liabilities, net:</w:t>
      </w:r>
    </w:p>
    <w:p>
      <w:pPr>
        <w:pStyle w:val="TextBody"/>
        <w:bidi w:val="0"/>
        <w:jc w:val="left"/>
        <w:rPr>
          <w:rFonts w:ascii="Times New Roman" w:hAnsi="Times New Roman"/>
          <w:color w:val="000000"/>
          <w:sz w:val="20"/>
        </w:rPr>
      </w:pPr>
      <w:r>
        <w:rPr>
          <w:rFonts w:ascii="Times New Roman" w:hAnsi="Times New Roman"/>
          <w:color w:val="000000"/>
          <w:sz w:val="20"/>
        </w:rPr>
        <w:t>Changes in fair value of assets and liabilities, net consisted of the following for the three months ended June 30, 2026 and 2025:</w:t>
      </w:r>
    </w:p>
    <w:p>
      <w:pPr>
        <w:pStyle w:val="TextBody"/>
        <w:bidi w:val="0"/>
        <w:jc w:val="left"/>
        <w:rPr/>
      </w:pPr>
      <w:r>
        <w:rPr/>
        <w:t> </w:t>
      </w:r>
    </w:p>
    <w:tbl>
      <w:tblPr>
        <w:tblW w:w="9098" w:type="dxa"/>
        <w:jc w:val="left"/>
        <w:tblInd w:w="0" w:type="dxa"/>
        <w:tblLayout w:type="fixed"/>
        <w:tblCellMar>
          <w:top w:w="28" w:type="dxa"/>
          <w:left w:w="28" w:type="dxa"/>
          <w:bottom w:w="28" w:type="dxa"/>
          <w:right w:w="28" w:type="dxa"/>
        </w:tblCellMar>
      </w:tblPr>
      <w:tblGrid>
        <w:gridCol w:w="6421"/>
        <w:gridCol w:w="146"/>
        <w:gridCol w:w="223"/>
        <w:gridCol w:w="778"/>
        <w:gridCol w:w="175"/>
        <w:gridCol w:w="154"/>
        <w:gridCol w:w="223"/>
        <w:gridCol w:w="667"/>
        <w:gridCol w:w="311"/>
      </w:tblGrid>
      <w:tr>
        <w:trPr/>
        <w:tc>
          <w:tcPr>
            <w:tcW w:w="6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on fair value of securities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other investments held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short-term convertible promissory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short-term 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pre-funded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(18,818</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Gain on other investments</w:t>
      </w:r>
    </w:p>
    <w:p>
      <w:pPr>
        <w:pStyle w:val="TextBody"/>
        <w:bidi w:val="0"/>
        <w:jc w:val="left"/>
        <w:rPr>
          <w:rFonts w:ascii="Times New Roman" w:hAnsi="Times New Roman"/>
          <w:color w:val="000000"/>
          <w:sz w:val="20"/>
        </w:rPr>
      </w:pPr>
      <w:r>
        <w:rPr>
          <w:rFonts w:ascii="Times New Roman" w:hAnsi="Times New Roman"/>
          <w:color w:val="000000"/>
          <w:sz w:val="20"/>
        </w:rPr>
        <w:t xml:space="preserve">We did not recognize a gain on other investments for the three months ended June 30, 2026. Gain on other investments for the three months ended June 30, 2025 consists of a $3.8 million gain related to our investment in Beckley Psytech, which was recognized upon the issuance of the deferred shares pursuant to the Escrow Agreement. </w:t>
      </w:r>
    </w:p>
    <w:p>
      <w:pPr>
        <w:pStyle w:val="TextBody"/>
        <w:bidi w:val="0"/>
        <w:spacing w:before="120" w:after="120"/>
        <w:jc w:val="left"/>
        <w:rPr>
          <w:rFonts w:ascii="Times New Roman" w:hAnsi="Times New Roman"/>
          <w:sz w:val="20"/>
        </w:rPr>
      </w:pPr>
      <w:r>
        <w:rPr>
          <w:rFonts w:ascii="Times New Roman" w:hAnsi="Times New Roman"/>
          <w:i/>
          <w:color w:val="000000"/>
          <w:sz w:val="20"/>
        </w:rPr>
        <w:t>Change in fair value of digital assets, net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recognized a $0.9 million loss and a $1.4 million gain for the three months ended June 30, 2026 and 2025, respectively, related to the change in fair value of our digital assets.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jc w:val="left"/>
        <w:rPr>
          <w:rFonts w:ascii="Times New Roman" w:hAnsi="Times New Roman"/>
          <w:color w:val="000000"/>
          <w:sz w:val="20"/>
        </w:rPr>
      </w:pPr>
      <w:r>
        <w:rPr>
          <w:rFonts w:ascii="Times New Roman" w:hAnsi="Times New Roman"/>
          <w:color w:val="000000"/>
          <w:sz w:val="20"/>
        </w:rPr>
        <w:t xml:space="preserve">We did not recognize any loss on extinguishment of debt for the three months ended June 30, 2026. Loss on extinguishment of debt for the three months ended June 30, 2025 was $1.3 million, which is related to our early repayment of all outstanding obligations under the 2022 Term Loan Facility in May 2025.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Foreign exchange gain (loss), net</w:t>
      </w:r>
    </w:p>
    <w:p>
      <w:pPr>
        <w:pStyle w:val="TextBody"/>
        <w:bidi w:val="0"/>
        <w:jc w:val="left"/>
        <w:rPr>
          <w:rFonts w:ascii="Times New Roman" w:hAnsi="Times New Roman"/>
          <w:color w:val="000000"/>
          <w:sz w:val="20"/>
        </w:rPr>
      </w:pPr>
      <w:r>
        <w:rPr>
          <w:rFonts w:ascii="Times New Roman" w:hAnsi="Times New Roman"/>
          <w:color w:val="000000"/>
          <w:sz w:val="20"/>
        </w:rPr>
        <w:t xml:space="preserve">We recognized an immaterial loss related to foreign currency exchange rates for the three months ended June 30, 2026 and a $1.5 million gain related to foreign currency exchange rates for the three months ended June 30, 2025. This was due to the impact of fluctuations in the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exchange rate between the Euro, Canadian Dollar, Australian Dollar, Pound Sterling, and the U.S. dollar on our foreign denominated balances.</w:t>
      </w:r>
    </w:p>
    <w:p>
      <w:pPr>
        <w:pStyle w:val="TextBody"/>
        <w:bidi w:val="0"/>
        <w:spacing w:before="120" w:after="120"/>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Other income, net for the three months ended June 30, 2026 was $0.1 million, which is driven by the change in our expected credit loss for certain notes receivable we hold with Amandala Neuro Limited. Other expense, net for the three months ended June 30, 2025 was $0.8 million, which was related to $0.7 million of issuance costs allocated to pre-funded warrant liabilities issued pursuant to the June 2025 PIPE Financing (see Note 15, Stockholders’ Equity in our unaudited condensed consolidated financial statements appearing under Part I, Item 1 for further information) (the “June 2025 PIPE Financing”) and $0.1 million from the disposal of certain fixed assets.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left"/>
        <w:rPr>
          <w:rFonts w:ascii="Times New Roman" w:hAnsi="Times New Roman"/>
          <w:color w:val="000000"/>
          <w:sz w:val="20"/>
        </w:rPr>
      </w:pPr>
      <w:r>
        <w:rPr>
          <w:rFonts w:ascii="Times New Roman" w:hAnsi="Times New Roman"/>
          <w:color w:val="000000"/>
          <w:sz w:val="20"/>
        </w:rPr>
        <w:t>We incurred a $0.1 million provision for income tax expense for both the three months ended June 30, 2026 and 2025. Our current income tax expense relates to tax expense of subsidiaries in the United States, Germany, and the United Kingdom. We recognized no deferred tax expense for three months ended June 30, 2026 and 2025, respectively. Given our early-stage development and lack of prior earnings history, we have a full valuation allowance primarily related to U.S. and foreign tax loss carryforwards, capitalized research and experimental costs, and stock-based compensation timing differences that we consider more-likely-than-not not to be realized.</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Six Months Ended June 30, 2026 and 2025 (unaudited)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88"/>
        <w:gridCol w:w="146"/>
        <w:gridCol w:w="243"/>
        <w:gridCol w:w="853"/>
        <w:gridCol w:w="192"/>
        <w:gridCol w:w="168"/>
        <w:gridCol w:w="243"/>
        <w:gridCol w:w="853"/>
        <w:gridCol w:w="166"/>
        <w:gridCol w:w="146"/>
        <w:gridCol w:w="211"/>
        <w:gridCol w:w="736"/>
        <w:gridCol w:w="166"/>
        <w:gridCol w:w="146"/>
        <w:gridCol w:w="189"/>
        <w:gridCol w:w="682"/>
        <w:gridCol w:w="777"/>
      </w:tblGrid>
      <w:tr>
        <w:trPr/>
        <w:tc>
          <w:tcPr>
            <w:tcW w:w="4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77,701</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(75,044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research and development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digital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gain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12,779</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AtaiBeckley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(62,306</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License Revenue</w:t>
      </w:r>
    </w:p>
    <w:p>
      <w:pPr>
        <w:pStyle w:val="TextBody"/>
        <w:bidi w:val="0"/>
        <w:jc w:val="left"/>
        <w:rPr>
          <w:rFonts w:ascii="Times New Roman" w:hAnsi="Times New Roman"/>
          <w:color w:val="000000"/>
          <w:sz w:val="20"/>
        </w:rPr>
      </w:pPr>
      <w:r>
        <w:rPr>
          <w:rFonts w:ascii="Times New Roman" w:hAnsi="Times New Roman"/>
          <w:color w:val="000000"/>
          <w:sz w:val="20"/>
        </w:rPr>
        <w:t>We recognized $0.6 million and $0.2 million of license revenue for the six months ended June 30, 2026 and 2025, respectively, primarily related to Nualtis' license agreements with Rizafilm LLC.</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Research and Development Services Revenue</w:t>
      </w:r>
    </w:p>
    <w:p>
      <w:pPr>
        <w:pStyle w:val="TextBody"/>
        <w:bidi w:val="0"/>
        <w:jc w:val="left"/>
        <w:rPr>
          <w:rFonts w:ascii="Times New Roman" w:hAnsi="Times New Roman"/>
          <w:color w:val="000000"/>
          <w:sz w:val="20"/>
        </w:rPr>
      </w:pPr>
      <w:r>
        <w:rPr>
          <w:rFonts w:ascii="Times New Roman" w:hAnsi="Times New Roman"/>
          <w:color w:val="000000"/>
          <w:sz w:val="20"/>
        </w:rPr>
        <w:t xml:space="preserve">We recognized $2.0 million and $2.1 million of research and development services revenue for the six months ended June 30, 2026 and 2025, respectively, related to certain research and development services performed by Nualtis for its customers.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left"/>
        <w:rPr>
          <w:rFonts w:ascii="Times New Roman" w:hAnsi="Times New Roman"/>
          <w:color w:val="000000"/>
          <w:sz w:val="20"/>
        </w:rPr>
      </w:pPr>
      <w:r>
        <w:rPr>
          <w:rFonts w:ascii="Times New Roman" w:hAnsi="Times New Roman"/>
          <w:color w:val="000000"/>
          <w:sz w:val="20"/>
        </w:rPr>
        <w:t>The table and discussion below present research and development expenses for the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30"/>
        <w:gridCol w:w="146"/>
        <w:gridCol w:w="260"/>
        <w:gridCol w:w="835"/>
        <w:gridCol w:w="180"/>
        <w:gridCol w:w="180"/>
        <w:gridCol w:w="260"/>
        <w:gridCol w:w="835"/>
        <w:gridCol w:w="146"/>
        <w:gridCol w:w="146"/>
        <w:gridCol w:w="211"/>
        <w:gridCol w:w="676"/>
        <w:gridCol w:w="166"/>
        <w:gridCol w:w="146"/>
        <w:gridCol w:w="224"/>
        <w:gridCol w:w="647"/>
        <w:gridCol w:w="717"/>
      </w:tblGrid>
      <w:tr>
        <w:trPr/>
        <w:tc>
          <w:tcPr>
            <w:tcW w:w="4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BPL-003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VLS-01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and consulting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 and facilities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7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Research and development expenses were $45.5 million for the six months ended June 30, 2026, compared to $22.4 million for the six months ended June 30, 2025. The increase of $23.1 million was primarily attributable to a $16.2 million net increase in the direct costs of our programs as discussed below, a $6.9 million increase in personnel and related expenses (inclusive of a $3.3 million increase in stock-based compensation and a $0.4 million decrease in restructuring charges) primarily driven by increased headcount following our strategic combination with Beckley Psytech in November 2025, a $0.1 million increase in facility related costs, and a $0.2 million</w:t>
      </w:r>
      <w:r>
        <w:rPr>
          <w:rFonts w:ascii="Times New Roman" w:hAnsi="Times New Roman"/>
          <w:color w:val="FF0000"/>
          <w:sz w:val="20"/>
        </w:rPr>
        <w:t xml:space="preserve"> </w:t>
      </w:r>
      <w:r>
        <w:rPr>
          <w:rFonts w:ascii="Times New Roman" w:hAnsi="Times New Roman"/>
          <w:color w:val="000000"/>
          <w:sz w:val="20"/>
        </w:rPr>
        <w:t>increase in depreciation expense. These increases were partially offset by a $0.3 million</w:t>
      </w:r>
      <w:r>
        <w:rPr>
          <w:rFonts w:ascii="Times New Roman" w:hAnsi="Times New Roman"/>
          <w:color w:val="FF0000"/>
          <w:sz w:val="20"/>
        </w:rPr>
        <w:t xml:space="preserve"> </w:t>
      </w:r>
      <w:r>
        <w:rPr>
          <w:rFonts w:ascii="Times New Roman" w:hAnsi="Times New Roman"/>
          <w:color w:val="000000"/>
          <w:sz w:val="20"/>
        </w:rPr>
        <w:t>decrease in other expenses and professional and consulting services, which is driven by a $0.8 million milestone payment to Psilera, Inc. (“Psilera”) in February 2025 pursuant to an intellectual property assignment and license agreement.</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BPL-003: Mebufotenin for TRD</w:t>
      </w:r>
    </w:p>
    <w:p>
      <w:pPr>
        <w:pStyle w:val="TextBody"/>
        <w:bidi w:val="0"/>
        <w:spacing w:before="120" w:after="283"/>
        <w:jc w:val="left"/>
        <w:rPr>
          <w:rFonts w:ascii="Times New Roman" w:hAnsi="Times New Roman"/>
          <w:sz w:val="20"/>
        </w:rPr>
      </w:pPr>
      <w:r>
        <w:rPr>
          <w:rFonts w:ascii="Times New Roman" w:hAnsi="Times New Roman"/>
          <w:color w:val="000000"/>
          <w:sz w:val="20"/>
        </w:rPr>
        <w:t>The costs attributed to BPL-003 represent direct costs related to the ongoing development activities of BPL-003, which initiated Phase 3 activities in the second quarter of 2026. Direct costs include $10.2 million of clinical development and related costs, $1.9 million of manufacturing costs, and $0.4 million</w:t>
      </w:r>
      <w:r>
        <w:rPr>
          <w:rFonts w:ascii="Times New Roman" w:hAnsi="Times New Roman"/>
          <w:color w:val="FF0000"/>
          <w:sz w:val="20"/>
        </w:rPr>
        <w:t xml:space="preserve"> </w:t>
      </w:r>
      <w:r>
        <w:rPr>
          <w:rFonts w:ascii="Times New Roman" w:hAnsi="Times New Roman"/>
          <w:color w:val="000000"/>
          <w:sz w:val="20"/>
        </w:rPr>
        <w:t>of preclinical development costs.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VLS-01: DMT for TRD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$8.0 million increase in direct costs for our VLS-01 program was primarily due to a $7.1 million increase in clinical development and related costs for our Elumina trial, the randomized, double-blind, placebo-controlled Phase 2b clinical trial of VLS-01, a $0.7 million increase in related manufacturing costs, and a $0.2 million increase in preclinical development costs.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EMP-01: R-MDMA for SAD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$0.6 million net increase in direct costs for our EMP-01 program was primarily due to a $1.0 million increase in manufacturing costs and a $0.2 million increase in preclinical development costs. These costs were partially offset by a $0.6 million decrease in clinical development costs relating to our completed exploratory, randomized, double-blind, placebo-controlled Phase 2a study in the United Kingdom that assessed the safety, tolerability and efficacy of EMP-01.</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Discovery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$0.1 million net decrease in discovery costs was primarily due to a $1.5 million reduction in our research and development expenses related to our discovery program as certain expenses qualified for reimbursement under our National Institute on Drug Abuse, part of the National Institutes of Health. This decrease was partially offset by a $1.4 million increase in preclinical development costs related to our novel 5-HT2A receptor agonists.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Other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$4.9 million decrease in direct costs for our other programs was primarily due to a $4.0 million decrease in direct costs for our RL-007 program as a result of a decrease in clinical development and related costs for our Phase 2b clinical trial for RL-007 in cognitive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associated with schizophrenia. The decrease also includes a $0.5 million decrease in our direct costs for Nualtis and a $0.3 million decrease in various other programs.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were $32.2 million for the six months ended June 30, 2026 compared to $25.5 million for the six months ended June 30, 2025. The $6.7 million increase was largely attributable to a $3.4 million increase in legal, intellectual property, and professional service expenses and a $3.3 million increase in personnel and related costs (inclusive of a $3.6 million increase in stock-based compensation and a $0.7 million decrease in restructuring charges).</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Interest income</w:t>
      </w:r>
    </w:p>
    <w:p>
      <w:pPr>
        <w:pStyle w:val="TextBody"/>
        <w:bidi w:val="0"/>
        <w:jc w:val="left"/>
        <w:rPr>
          <w:rFonts w:ascii="Times New Roman" w:hAnsi="Times New Roman"/>
          <w:color w:val="000000"/>
          <w:sz w:val="20"/>
        </w:rPr>
      </w:pPr>
      <w:r>
        <w:rPr>
          <w:rFonts w:ascii="Times New Roman" w:hAnsi="Times New Roman"/>
          <w:color w:val="000000"/>
          <w:sz w:val="20"/>
        </w:rPr>
        <w:t>Interest income for the six months ended June 30, 2026 and 2025 primarily consisted of interest earned on our cash balances. We recognized interest income of $0.2 million and $0.4 million for the six months ended June 30, 2026 and 2025, respectively.</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Interest expense</w:t>
      </w:r>
    </w:p>
    <w:p>
      <w:pPr>
        <w:pStyle w:val="TextBody"/>
        <w:bidi w:val="0"/>
        <w:jc w:val="left"/>
        <w:rPr>
          <w:rFonts w:ascii="Times New Roman" w:hAnsi="Times New Roman"/>
          <w:color w:val="000000"/>
          <w:sz w:val="20"/>
        </w:rPr>
      </w:pPr>
      <w:r>
        <w:rPr>
          <w:rFonts w:ascii="Times New Roman" w:hAnsi="Times New Roman"/>
          <w:color w:val="000000"/>
          <w:sz w:val="20"/>
        </w:rPr>
        <w:t xml:space="preserve">We did not recognize interest expense for the six months ended June 30, 2026. We recognized $1.2 million of interest expense for the six months ended June 30, 2025, which consisted of interest expense incurred in connection with our 2022 Term Loan Facility that was terminated in May 2025.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Benefit from research and development tax credits</w:t>
      </w:r>
    </w:p>
    <w:p>
      <w:pPr>
        <w:pStyle w:val="TextBody"/>
        <w:bidi w:val="0"/>
        <w:jc w:val="left"/>
        <w:rPr>
          <w:rFonts w:ascii="Times New Roman" w:hAnsi="Times New Roman"/>
          <w:color w:val="000000"/>
          <w:sz w:val="20"/>
        </w:rPr>
      </w:pPr>
      <w:r>
        <w:rPr>
          <w:rFonts w:ascii="Times New Roman" w:hAnsi="Times New Roman"/>
          <w:color w:val="000000"/>
          <w:sz w:val="20"/>
        </w:rPr>
        <w:t>We recognized, in total, $3.1 million in research and development tax credits from tax authorities in Canada, Australia, and the United Kingdom for the six months ended June 30, 2026. We recognized $0.1 million of research and development tax credits from tax authorities in Canada and Australia for the six months ended June 30, 2025.</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Change in fair value of assets and liabilities, net:</w:t>
      </w:r>
    </w:p>
    <w:p>
      <w:pPr>
        <w:pStyle w:val="TextBody"/>
        <w:bidi w:val="0"/>
        <w:jc w:val="left"/>
        <w:rPr>
          <w:rFonts w:ascii="Times New Roman" w:hAnsi="Times New Roman"/>
          <w:color w:val="000000"/>
          <w:sz w:val="20"/>
        </w:rPr>
      </w:pPr>
      <w:r>
        <w:rPr>
          <w:rFonts w:ascii="Times New Roman" w:hAnsi="Times New Roman"/>
          <w:color w:val="000000"/>
          <w:sz w:val="20"/>
        </w:rPr>
        <w:t>Changes in fair value of assets and liabilities, net consisted of the following for the six months ended June 30, 2026 and 2025:</w:t>
      </w:r>
    </w:p>
    <w:p>
      <w:pPr>
        <w:pStyle w:val="TextBody"/>
        <w:bidi w:val="0"/>
        <w:jc w:val="left"/>
        <w:rPr/>
      </w:pPr>
      <w:r>
        <w:rPr/>
        <w:t> </w:t>
      </w:r>
    </w:p>
    <w:tbl>
      <w:tblPr>
        <w:tblW w:w="9456" w:type="dxa"/>
        <w:jc w:val="left"/>
        <w:tblInd w:w="0" w:type="dxa"/>
        <w:tblLayout w:type="fixed"/>
        <w:tblCellMar>
          <w:top w:w="28" w:type="dxa"/>
          <w:left w:w="28" w:type="dxa"/>
          <w:bottom w:w="28" w:type="dxa"/>
          <w:right w:w="28" w:type="dxa"/>
        </w:tblCellMar>
      </w:tblPr>
      <w:tblGrid>
        <w:gridCol w:w="6421"/>
        <w:gridCol w:w="146"/>
        <w:gridCol w:w="246"/>
        <w:gridCol w:w="861"/>
        <w:gridCol w:w="194"/>
        <w:gridCol w:w="170"/>
        <w:gridCol w:w="246"/>
        <w:gridCol w:w="861"/>
        <w:gridCol w:w="311"/>
      </w:tblGrid>
      <w:tr>
        <w:trPr/>
        <w:tc>
          <w:tcPr>
            <w:tcW w:w="6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on fair value of securities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other investments held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short-term convertible promissory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short-term 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pre-funded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(12,835</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Gain on other investments</w:t>
      </w:r>
    </w:p>
    <w:p>
      <w:pPr>
        <w:pStyle w:val="TextBody"/>
        <w:bidi w:val="0"/>
        <w:jc w:val="left"/>
        <w:rPr>
          <w:rFonts w:ascii="Times New Roman" w:hAnsi="Times New Roman"/>
          <w:color w:val="000000"/>
          <w:sz w:val="20"/>
        </w:rPr>
      </w:pPr>
      <w:r>
        <w:rPr>
          <w:rFonts w:ascii="Times New Roman" w:hAnsi="Times New Roman"/>
          <w:color w:val="000000"/>
          <w:sz w:val="20"/>
        </w:rPr>
        <w:t xml:space="preserve">We did not recognize a gain on other investments for the six months ended June 30, 2026. Gain on other investments for the six months ended June 30, 2025 consists of a $3.8 million gain related to our investment in Beckley Psytech which was recognized upon the issuance of the deferred shares pursuant to the Escrow Agreement.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Change in fair value of digital assets, net</w:t>
      </w:r>
    </w:p>
    <w:p>
      <w:pPr>
        <w:pStyle w:val="TextBody"/>
        <w:bidi w:val="0"/>
        <w:jc w:val="left"/>
        <w:rPr>
          <w:rFonts w:ascii="Times New Roman" w:hAnsi="Times New Roman"/>
          <w:color w:val="000000"/>
          <w:sz w:val="20"/>
        </w:rPr>
      </w:pPr>
      <w:r>
        <w:rPr>
          <w:rFonts w:ascii="Times New Roman" w:hAnsi="Times New Roman"/>
          <w:color w:val="000000"/>
          <w:sz w:val="20"/>
        </w:rPr>
        <w:t>We recognized a $2.9 million loss and a $1.2 million gain, respectively, for the six months ended June 30, 2026 and 2025 related to the change in fair value of our digital assets.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jc w:val="left"/>
        <w:rPr>
          <w:rFonts w:ascii="Times New Roman" w:hAnsi="Times New Roman"/>
          <w:color w:val="000000"/>
          <w:sz w:val="20"/>
        </w:rPr>
      </w:pPr>
      <w:r>
        <w:rPr>
          <w:rFonts w:ascii="Times New Roman" w:hAnsi="Times New Roman"/>
          <w:color w:val="000000"/>
          <w:sz w:val="20"/>
        </w:rPr>
        <w:t>We did not recognize any loss on extinguishment of debt for the six months ended June 30, 2026. Loss on extinguishment of debt for the six months ended June 30, 2025 was $1.3 million, which is related to our early repayment of all outstanding obligations under the 2022 Term Loan Facility in May 2025.</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Foreign exchange gain (loss), net</w:t>
      </w:r>
    </w:p>
    <w:p>
      <w:pPr>
        <w:pStyle w:val="TextBody"/>
        <w:bidi w:val="0"/>
        <w:jc w:val="left"/>
        <w:rPr>
          <w:rFonts w:ascii="Times New Roman" w:hAnsi="Times New Roman"/>
          <w:color w:val="000000"/>
          <w:sz w:val="20"/>
        </w:rPr>
      </w:pPr>
      <w:r>
        <w:rPr>
          <w:rFonts w:ascii="Times New Roman" w:hAnsi="Times New Roman"/>
          <w:color w:val="000000"/>
          <w:sz w:val="20"/>
        </w:rPr>
        <w:t>We recognized a $0.5 million loss and $1.9 million gain related to foreign currency exchange rates for the six months ended June 30, 2026, and 2025, respectively. This was due to the impact of fluctuations in the foreign currency exchange rate between the Euro, Canadian Dollar, Pound Sterling, Australian Dollar, and the U.S. dollar on our foreign denominated balances.</w:t>
      </w:r>
    </w:p>
    <w:p>
      <w:pPr>
        <w:pStyle w:val="TextBody"/>
        <w:bidi w:val="0"/>
        <w:spacing w:before="120" w:after="120"/>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recognized Other income, net of $0.2 million for the six months ended June 30, 2026, which is driven by the change in our expected credit loss for certain notes receivable we hold with Amandala Neuro Limited. Other expense, net for the six months ended June 30, 2025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was $0.8 million, which is related to $0.7 million of issuance costs allocated to pre-funded warrant liabilities issued pursuant to the June 2025 PIPE Financing and $0.1 million from the disposal of certain fixed assets.</w:t>
      </w:r>
    </w:p>
    <w:p>
      <w:pPr>
        <w:pStyle w:val="TextBody"/>
        <w:bidi w:val="0"/>
        <w:spacing w:before="120" w:after="283"/>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incurred $0.1 million and a $0.2 million of current income tax expense for the six months ended June 30, 2026 and 2025, respectively. Our current income tax expense relates to tax expense of subsidiaries in the United States, Germany, and the United Kingdom. Given our early-stage development and lack of prior earnings history, we have a full valuation allowance primarily related to U.S. and foreign tax loss carryforwards, capitalized research and experimental costs, and stock-based compensation timing differences that we consider more-likely-than-not not to be realized.</w:t>
        <w:b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0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and 2025, we had net losses attributable to our stockholders of $62.3 million and $54.2 million, respectively. As of June 30, 2026 and December 31, 2025, our accumulated deficit was $1.4 billion and $1.4 billion, respectively. We expect to continue to incur losses and operating cash outflows for the foreseeable future as we continue advancing our product candidates through clinical development. Our primary sources of liquidity are our cash and cash equivalents, short-term securities, investments, digital assets and sales of common stock. We maintain cash balances with financial institutions in excess of insured limits.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requirements for liquidity and capital are clinical trial costs, manufacturing costs, nonclinical and other research and development costs, funding of strategic investments (including integration process from our strategic combination with Beckley Psytech), public company compliance costs and general corporate needs.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sufficient product revenue to achieve profitability will depend substantially on the successful development and eventual commercialization, if any, of product candidates. We expect to continue to incur significant expenses and increasing operating losses for at least the next several years. In the event the Merger is not completed, we expect to finance our cash needs through a combination of equity or debt financings, collaboration arrangements, license agreements, other business development opportunities with third parties and government grants. We recognize revenue from license and research and development arrangements through Nualtis.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Investments</w:t>
      </w:r>
    </w:p>
    <w:p>
      <w:pPr>
        <w:pStyle w:val="TextBody"/>
        <w:bidi w:val="0"/>
        <w:jc w:val="left"/>
        <w:rPr>
          <w:rFonts w:ascii="Times New Roman" w:hAnsi="Times New Roman"/>
          <w:color w:val="000000"/>
          <w:sz w:val="20"/>
        </w:rPr>
      </w:pPr>
      <w:r>
        <w:rPr>
          <w:rFonts w:ascii="Times New Roman" w:hAnsi="Times New Roman"/>
          <w:color w:val="000000"/>
          <w:sz w:val="20"/>
        </w:rPr>
        <w:t xml:space="preserve">A potential source of non-dilutive funding resides in our investment in COMPASS's ADS, subject to market conditions. Based on quoted market prices, the market value of our ownership in COMPASS was $34.0 million as of June 30, 2026.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Digital Assets</w:t>
      </w:r>
    </w:p>
    <w:p>
      <w:pPr>
        <w:pStyle w:val="TextBody"/>
        <w:bidi w:val="0"/>
        <w:jc w:val="left"/>
        <w:rPr>
          <w:rFonts w:ascii="Times New Roman" w:hAnsi="Times New Roman"/>
          <w:color w:val="000000"/>
          <w:sz w:val="20"/>
        </w:rPr>
      </w:pPr>
      <w:r>
        <w:rPr>
          <w:rFonts w:ascii="Times New Roman" w:hAnsi="Times New Roman"/>
          <w:color w:val="000000"/>
          <w:sz w:val="20"/>
        </w:rPr>
        <w:t>A potential source of non-dilutive funding resides in our investment in digital assets, subject to market conditions, volatility, and price fluctuations. Based on quoted market prices, the market value of our ownership in Bitcoin was $5.9 million as of June 30, 2026.</w:t>
      </w:r>
    </w:p>
    <w:p>
      <w:pPr>
        <w:pStyle w:val="TextBody"/>
        <w:bidi w:val="0"/>
        <w:spacing w:before="120" w:after="283"/>
        <w:jc w:val="left"/>
        <w:rPr>
          <w:rFonts w:ascii="Times New Roman" w:hAnsi="Times New Roman"/>
          <w:sz w:val="20"/>
        </w:rPr>
      </w:pPr>
      <w:r>
        <w:rPr>
          <w:rFonts w:ascii="Times New Roman" w:hAnsi="Times New Roman"/>
          <w:i/>
          <w:color w:val="000000"/>
          <w:sz w:val="20"/>
        </w:rPr>
        <w:t>ATM Program</w:t>
      </w:r>
      <w:r>
        <w:rPr>
          <w:rFonts w:ascii="Times New Roman" w:hAnsi="Times New Roman"/>
          <w:color w:val="FF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6, 2026, we entered into an Open Market Sale AgreementSM (the “Sales Agreement”) with Jefferies LLC (“Jefferies”), pursuant to which we could issue and sell our common stock from time to time through an “at the market” equity offering program under which Jefferies would act as sales agent. The common stock to be sold pursuant to the Sales Agreement, if any, was to be issued pursuant to our registration statement on Form S-3 (File No. 333-294124) and related prospectus supplement contained therein that were filed on March 9, 2026 with the Securities and Exchange Commission. The Sales Agreement was subsequently terminated pursuant to its terms in connection with the Company’s entry into the Merger Agreement. There were no sales under the Sales Agreement during the six months ended June 30, 2026. See Note 15, Stockholders’ Equity, in our unaudited condensed consolidated financial statements appearing under Part I, Item 1 for more information.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Liquidity Risks</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we had cash and cash equivalents of $168.8 million and short-term securities of $23.0 million. Based on our current operating plan as a standalone entity, we believe our available cash and cash equivalents and marketable securities, will be sufficient to fund our planned level of operations for at least the next 12 months. As discussed above, we expect that our pending Merger will close in the third quarter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substantial additional expenditures in the near term to support our ongoing activities. Additionally, we have incurred and expect to continue to incur additional costs as a result of operating as a public company. We expect to continue to incur net losses for the foreseeable future. In the event the Merger is not completed, our ability to fund our product development and clinical operations as well as commercialization of our product candidates, will depend on the amount and timing of cash received from planned financings.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complete the Merger;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complete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the EMA and other comparable foreign regulatory authorities;</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timing, scope and costs of our preclinical studies, clinical trials and other related activities for our ongoing and planned clinical trials, and potential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any of our product candidates that receive marketing approval, including the costs and timing of establishing product sales, marketing, distribution and manufacturing capabilities, or entering into strategic collaborations with third parties to leverage or access these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sales and other revenues from our product candidates, if approved, including the sales price and the availability of coverage and adequate third party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requirements for developing our programs and our ability and willingness to finance their continued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requirements for strategic transactions, including acquisitions and partnerships and integration process for our strategic combination with Beckley Psytech;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requirements for discovering and developing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respond to technological and market developments, including other products that may compete with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 If we are unable to obtain this funding when needed and on acceptable terms, we could be forced to delay, limit or terminate our product development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the Merger is not completed, we expect to finance our operations through a combination of equity financings, debt financings, collaborations with other companies and other strategic transactions.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raise additional funds through equity or debt financings or other arrangements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operating plans may change, and we may need additional funds to meet operational needs and capital requirements for clinical trials and other research and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six months ended June 30, 2026 and 2025:</w:t>
      </w:r>
    </w:p>
    <w:p>
      <w:pPr>
        <w:pStyle w:val="TextBody"/>
        <w:bidi w:val="0"/>
        <w:jc w:val="left"/>
        <w:rPr/>
      </w:pPr>
      <w:r>
        <w:rPr/>
        <w:t> </w:t>
      </w:r>
    </w:p>
    <w:tbl>
      <w:tblPr>
        <w:tblW w:w="7744" w:type="dxa"/>
        <w:jc w:val="left"/>
        <w:tblInd w:w="0" w:type="dxa"/>
        <w:tblLayout w:type="fixed"/>
        <w:tblCellMar>
          <w:top w:w="28" w:type="dxa"/>
          <w:left w:w="28" w:type="dxa"/>
          <w:bottom w:w="28" w:type="dxa"/>
          <w:right w:w="28" w:type="dxa"/>
        </w:tblCellMar>
      </w:tblPr>
      <w:tblGrid>
        <w:gridCol w:w="4956"/>
        <w:gridCol w:w="146"/>
        <w:gridCol w:w="211"/>
        <w:gridCol w:w="781"/>
        <w:gridCol w:w="166"/>
        <w:gridCol w:w="146"/>
        <w:gridCol w:w="211"/>
        <w:gridCol w:w="736"/>
        <w:gridCol w:w="391"/>
      </w:tblGrid>
      <w:tr>
        <w:trPr/>
        <w:tc>
          <w:tcPr>
            <w:tcW w:w="4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$56.4 million for the six months ended June 30, 2026, which consisted of a net loss of $62.4 million, adjusted by noncash charges adjustments of $6.8 million and $0.8 million net cash outflow related to the change in operating assets and liabilities. The noncash charges primarily consisted of $12.9 million related to stock-based compensation, $2.9 million noncash loss related to the change in fair value of digital assets, $0.4 million noncash loss related to unrealized foreign exchange revaluation, $0.3 million of depreciation and amortization, and $0.1 million of non-cash lease expense. These losses were partially offset by $9.7 million gain related to the change in fair value of assets and liabilities, net and $0.2 million of other noncash income. The $0.8 million net cash outflow from the change in operating assets and liabilities were primarily due to a $6.5 million increase in other assets, $0.9 million decrease in deferred revenue, $0.1 million decrease in accrued liabilities, and $0.1 million increase in prepaid expenses and other assets, offset by a $6.7 million increase in accounts payable.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$31.9 million for the six months ended June 30, 2025, which consisted of a net loss of $54.2 million, adjusted by non-cash charges and other adjustments of $16.2 million and a net cash inflow of $6.1 million related to the change in operating assets and liabilities. The non-cash charges primarily consisted of a $13.4 million loss related to the change in fair value of assets and liabilities, net, $6.0 million related to stock-based compensation, $1.3 million related to non-cash loss on the extinguishment of debt, $0.9 million related to other non-cash expenses, $0.7 million related to issuance costs allocated to pre-funded warrant liabilities issued pursuant to the June 2025 PIPE Financing, $0.4 million of depreciation and amortization, $0.2 million of non-cash lease expense, and $0.2 million related to amortization of debt discount. These losses were partially offset by $3.8 million non-cash gain related to other investments, $1.9 million non-cash gain related to unrealized foreign exchange revaluation, and $1.2 million non-cash gain related to the change in fair value of digital assets. The net cash inflow of $6.1 million from the change in operating assets and liabilities were primarily due to a $4.0 million increase in accrued liabilities, $1.3 million decrease in prepaid expenses and other assets, and $0.8 million increase in accounts payable.</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Provided by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Net cash provided by investing activities was $136.9 million for the six months ended June 30, 2026, primarily driven by $112.6 million of cash received from the sale of our UBS investments, $23.7</w:t>
      </w:r>
      <w:r>
        <w:rPr>
          <w:rFonts w:ascii="Times New Roman" w:hAnsi="Times New Roman"/>
          <w:color w:val="FF0000"/>
          <w:sz w:val="20"/>
        </w:rPr>
        <w:t xml:space="preserve"> </w:t>
      </w:r>
      <w:r>
        <w:rPr>
          <w:rFonts w:ascii="Times New Roman" w:hAnsi="Times New Roman"/>
          <w:color w:val="000000"/>
          <w:sz w:val="20"/>
        </w:rPr>
        <w:t>million of cash received for the sale of our COMPASS ADS, and $0.6 million for the proceeds from the repayment of our notes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$1.2 million for the six months ended June 30, 2025, primarily driven by $10.0 million of cash paid for our investment in Beckley Psytech, $5.0 million of cash paid for the acquisition of digital assets, $0.8 million of cash paid for Psilera asset acquisition, and $0.4 million of cash paid for property and equipment. These were partially offset by $11.1 million of proceeds from the sale and maturity of investments carried at fair value and $3.9 million of proceeds from the sale of our COMPASS Pathways plc.</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Net cash provided by financing activities was $3.5</w:t>
      </w:r>
      <w:r>
        <w:rPr>
          <w:rFonts w:ascii="Times New Roman" w:hAnsi="Times New Roman"/>
          <w:color w:val="FF0000"/>
          <w:sz w:val="20"/>
        </w:rPr>
        <w:t xml:space="preserve"> </w:t>
      </w:r>
      <w:r>
        <w:rPr>
          <w:rFonts w:ascii="Times New Roman" w:hAnsi="Times New Roman"/>
          <w:color w:val="000000"/>
          <w:sz w:val="20"/>
        </w:rPr>
        <w:t>million for the six months ended June 30, 2026, driven by $3.5</w:t>
      </w:r>
      <w:r>
        <w:rPr>
          <w:rFonts w:ascii="Times New Roman" w:hAnsi="Times New Roman"/>
          <w:color w:val="FF0000"/>
          <w:sz w:val="20"/>
        </w:rPr>
        <w:t xml:space="preserve"> </w:t>
      </w:r>
      <w:r>
        <w:rPr>
          <w:rFonts w:ascii="Times New Roman" w:hAnsi="Times New Roman"/>
          <w:color w:val="000000"/>
          <w:sz w:val="20"/>
        </w:rPr>
        <w:t>million in proceeds from stock option exercises.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$67.3 million for the six months ended June 30, 2025, primarily driven by the $78.2 million of net cash proceeds from the issuance of common stock related to our February 2025 equity offering and June 2025 PIPE Financing, $11.5 million of proceeds from the issuance of pre-funded warrants related to the June 2025 PIPE Financing, and $1.6 million in proceeds from stock option exercises. These were offset by $21.8 million paid for the extinguishment of our 2022 Term Loan Facility and $2.2 million paid for common stock and pre-funded warrant issuance costs related to our February 2025 equity offering and June 2025 PIPE Financing.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Material Cash Requirements from Known Contractual and Other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material commitments and obligations were reported in our Annual Report. As of June 30, 2026, there has been no change in our material commitments and obligations that were previously reported in our Annual Report.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Basis of Presentation and Summary of significant Accounting Policies, to our unaudited condensed consolidated financial statements appearing under Part I, Item 1 for more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are described under the heading “Management’s Discussion and Analysis of Financial Condition and Results of Operations – Critical Accounting Policies and Estimates” in our Form 10-K and in Note 2, Basis of Presentation and Summary of significant Accounting Policies, to our audited consolidated financial statements included in our Form 10-K. As disclosed in Note 2, Basis of Presentation and Summary of significant Accounting Policies, to our audited consolidated financial statements included in our Form 10-K, the preparation of financial statements in conformity with U.S. GAAP requires management to make estimates and assumptions about future events that affect the amounts reported in the financial statements and accompanying notes. Actual results could differ significantly from those estimates. During the period covered by this Quarterly Report, there were no material changes to our critical accounting policies from those discussed in our Form 10-K other than those disclosed in Note 2, Basis of Presentation and Summary of significant Accounting Policies, of this Quarterly Report.</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_7a_market_risk"/>
      <w:bookmarkEnd w:id="15"/>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In addition, our portfolio of notes receivables is exposed to credit risk in the form of non-payment or non-performance. In mitigating our credit risk, we consider multiple factors, including the duration and terms of the note and the nature of and our relationship with the counterparty. The following analysis provides quantitative information regarding these risks.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exposure to market risk is interest rate sensitivity, which is affected by changes in the general level of U.S. interest rates. As of June 30, 2026 we had cash and cash equivalents of $168.8 million and short-term securities of $23.0 million. We generally hold our cash in interest-bearing demand deposit accounts and short-term securities. Due to the nature of our cash and investment portfolio, a hypothetical 100 basis point change in interest rates would not have a material effect on the fair value of our cash. Our cash is held for working capital purposes. The Company purchases investment grade marketable debt securities which are rated by nationally recognized statistical credit rating organizations in accordance with its investment policy. This policy is designed to minimize the Company's exposure to credit losses and to ensure that the adequate liquidity is maintained at all times to meet anticipated cash flow needs.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reporting and functional currency is the U.S. dollar, and the functional currency of our foreign subsidiaries is generally the respective local currency. The assets and liabilities of each of our foreign subsidiaries are translated into U.S. dollars at exchange rates in effect at each balance sheet date. Adjustments resulting from translating foreign functional currency financial statements into U.S. dollars are recorded as a separate component on the unaudited condensed consolidated statements of comprehensive loss. Equity transactions are translated using historical exchange rates. Expenses are translated using the average exchange rate during the previous month. Gains or losses due to transactions in foreign currencies are included in other expenses, net in our unaudited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exchange rates depends on many factors that we cannot forecast with reliable accuracy. We have experienced and will continue to experience fluctuations in foreign exchange gains and losses related to changes in foreign currency exchange rates. In the event our foreign currency denominated assets, liabilities, revenue, or expenses increase, our results of operations may be more greatly affected by fluctuations in the exchange rates of the currencies in which we do business, resulting in unrealized foreign exchange gains or losses. We have not engaged in the hedging of foreign currency transactions to date, although we may choose to do so in the future. No strategy can completely insulate us from risks associated with such fluctuations and our currency exchange rate risk management activities could expose us to substantial losses if such rates move materially differently from our expectations.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hypothetical 10% change in the relative value of the U.S. dollar to other currencies during any of the periods presented would not have had a material effect on our consolidated financial statements, but could result in significant unrealized foreign exchange gains or losses for any given period.</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6" w:name="item_4_controls_and_procedures"/>
      <w:bookmarkEnd w:id="16"/>
      <w:r>
        <w:rPr>
          <w:rFonts w:ascii="Times New Roman" w:hAnsi="Times New Roman"/>
          <w:b/>
          <w:color w:val="000000"/>
          <w:sz w:val="20"/>
        </w:rPr>
        <w:t>Item 4. Controls and P</w:t>
      </w:r>
      <w:bookmarkStart w:id="17" w:name="item_9a_controls_and_procedures"/>
      <w:bookmarkEnd w:id="17"/>
      <w:r>
        <w:rPr>
          <w:rFonts w:ascii="Times New Roman" w:hAnsi="Times New Roman"/>
          <w:b/>
          <w:color w:val="000000"/>
          <w:sz w:val="20"/>
        </w:rPr>
        <w:t>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evaluated the effectiveness of our disclosure controls and procedures as of June 30, 2026. Based on this evaluation, our principal executive officer and principal financial officer concluded that our disclosure controls and procedures were effective as of June 30, 2026 at the reasonable assurance level.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(as that term is defined in Rules 13a-15(f) and 15d-15(f) under the Exchange Act) that occurred during the fiscal quarter ended June 30, 2026 that has materially affected, or is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8" w:name="part_ii_other_information"/>
      <w:bookmarkEnd w:id="18"/>
      <w:r>
        <w:rPr>
          <w:rFonts w:ascii="Times New Roman" w:hAnsi="Times New Roman"/>
          <w:b/>
          <w:color w:val="000000"/>
          <w:sz w:val="20"/>
        </w:rPr>
        <w:t>PART II- OTHER INFORMATION</w:t>
      </w:r>
    </w:p>
    <w:p>
      <w:pPr>
        <w:pStyle w:val="TextBody"/>
        <w:bidi w:val="0"/>
        <w:spacing w:before="120" w:after="283"/>
        <w:jc w:val="left"/>
        <w:rPr>
          <w:rFonts w:ascii="Times New Roman" w:hAnsi="Times New Roman"/>
          <w:sz w:val="20"/>
        </w:rPr>
      </w:pPr>
      <w:bookmarkStart w:id="19" w:name="part_2_item_1_legal_proceedings"/>
      <w:bookmarkEnd w:id="19"/>
      <w:r>
        <w:rPr>
          <w:rFonts w:ascii="Times New Roman" w:hAnsi="Times New Roman"/>
          <w:b/>
          <w:color w:val="000000"/>
          <w:sz w:val="20"/>
        </w:rPr>
        <w:t>Item 1. Legal Procee</w:t>
      </w:r>
      <w:bookmarkStart w:id="20" w:name="item_3_legal_proceedings"/>
      <w:bookmarkEnd w:id="20"/>
      <w:r>
        <w:rPr>
          <w:rFonts w:ascii="Times New Roman" w:hAnsi="Times New Roman"/>
          <w:b/>
          <w:color w:val="000000"/>
          <w:sz w:val="20"/>
        </w:rPr>
        <w:t>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from time to time, party to various claims and legal proceedings arising in the ordinary course of our business. Given that such proceedings are subject to uncertainty, there can be no assurance that any such legal proceedings, either individually or in the aggregate, will not have a material adverse effect on our business, results of operations, financial condition or cash flows. See Part I, Item I “Financial Statements (Unaudited) – Note 19, Commitments and Contingencies, in this Quarterly Report, which are incorporated herein by reference.</w:t>
      </w:r>
    </w:p>
    <w:p>
      <w:pPr>
        <w:pStyle w:val="TextBody"/>
        <w:bidi w:val="0"/>
        <w:spacing w:before="240" w:after="283"/>
        <w:jc w:val="left"/>
        <w:rPr>
          <w:rFonts w:ascii="Times New Roman" w:hAnsi="Times New Roman"/>
          <w:sz w:val="20"/>
        </w:rPr>
      </w:pPr>
      <w:bookmarkStart w:id="21" w:name="risk_factors"/>
      <w:bookmarkEnd w:id="21"/>
      <w:r>
        <w:rPr>
          <w:rFonts w:ascii="Times New Roman" w:hAnsi="Times New Roman"/>
          <w:b/>
          <w:color w:val="000000"/>
          <w:sz w:val="20"/>
        </w:rPr>
        <w:t>Item lA. Risk Factors.</w:t>
      </w:r>
      <w:r>
        <w:rPr>
          <w:rFonts w:ascii="Times New Roman" w:hAnsi="Times New Roman"/>
          <w:color w:val="000000"/>
          <w:sz w:val="20"/>
        </w:rPr>
        <w:t xml:space="preserve">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In addition to the other information set forth in this Quarterly Report and in other documents that we file with the SEC, you should carefully consider the factors described in the section titled "Risk Factors" in our Form 10-K. Other than the below, there have been no material changes to the risk factors described in Part I, Item 1A of our Form 10-K. If any of the risk factors described in the Form 10-K actually materializes, our business, financial condition and results of operations could be materially adversely affected. In such an event, the market price of our common stock could decline and you may lose all or part of your investment. Additional risks that we currently do not know about or that we currently believe to be immaterial may also impair our business. We may disclose changes to such risk factors or disclose additional risk factors from time to time in our future filings with the SEC.</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Merger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conditions to the consummation of the Merger may not be satisfied at all or in the anticipated timeframe.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15, 2026, we entered into the Merger Agreement with Lilly and Merger Sub, pursuant to which Merger Sub will merge with and into the Company, with the Company surviving the Merger as a wholly-owned subsidiary of Lilly.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Consummation of the Merger is subject to a number of conditions, including: (i) approval of the Merger Agreement by holders of at least a majority of the outstanding stock entitled to vote; (ii) the expiration or termination of any applicable waiting period (and extensions thereof) under the Hart-Scott-Rodino Antitrust Improvements Act of 1976, as amended; (iii) the expiration or termination of the antitrust notices, approvals, clearances and waiting periods required under the antitrust laws of Australia and Germany, as well as the antitrust laws of the United Kingdom and another specified jurisdiction; (iv) the absence of any law or order by any governmental authority of competent jurisdiction that would prohibit or prevent the Merger; (v) the absence of any pending suit, action or proceeding by a governmental authority of competent jurisdiction (a) seeking to prohibit or impose material limitations on Lilly or Merger Sub’s ownership or operation of all or any material portion of their or our businesses or assets, or to compel a divestiture or hold separate of any material portion thereof, (b) seeking to prohibit or make illegal the consummation of the Merger, (c) seeking to impose material limitations on Lilly’s or Merger Sub’s ability to exercise full rights of ownership of our shares, or (d) seeking to require divestiture by Lilly of our shares; and (vii) other conditions specified in the Merger Agreement. As a result, there can be no assurance that the Merger will be consummated. These conditions are described in more detail in the Merger Agreement, which is filed as an exhibit to the Current Report on Form 8-K, filed with the SEC on July 16, 2026, and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intends to pursue all required approvals in accordance with the Merger Agreement. However, no assurance can be given that the required approvals will be obtained and, even if all such approvals are obtained, no assurance can be given to the terms, conditions and timing of the approvals or that they will satisfy the terms of the Merger Agreement.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announcement of, or a failure to consummate, the Merger could negatively impact our business, financial condition, results of operations or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announcement of having entered into the Merger Agreement could cause a material disruption to our business and there can be no assurance that the conditions to the consummation of the Merger will be satisfied. The Merger Agreement may also be terminated by us and/or Lilly in certain specified circumstances, as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several risks as a result of the announcement of the Merger Agreement, including, but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Merger is not completed within the expected timeframe, or at all, the share price of our common stock will change to the extent that the current market price of our common stock reflects an assumption that the Merger will be consummated;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Merger Agreement, we are subject to certain restrictions on the conduct of our business prior to the completion of the Merger, which restrictions could adversely affect our ability to realize certain of our business strategies or take advantage of certain business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attention of our management may be directed towards the consummation of the Merger and related matters, and their focus may be diverted from the day-to-day business operations of our Company, including from other opportunities that might otherwise be beneficial to us;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difficulty retaining existing key employees or hire new capable employees, given the uncertainty regarding our future, in order to execute on our continuing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failure to complete the Merger within the proposed timeframe, or at all, may result in negative publicity and/or a negative impression of us in the investment community or business community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difficulties maintaining relationships with collaborators, vendors, and other business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determine to terminate and/or attempt to renegotiate their relationship with us as a result of the Merger, whether pursuant to the terms of their existing agreements with us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termination of the Merger Agreement by us or Lilly under specified circumstances, we would be required to pay a termination fee of $104,300,000;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subject to litigation related to any failure to complete the Merger;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Merger is not completed, we will have incurred significant transaction costs and expended significant management resources, and may need to seek additional financing to continue to develop our product candidates, which financing may not be available within the necessary timeframe,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executive officers and directors may have interests in the Merger that are different from, or are in addition to, those of our stockholders generally. These interests include without limitation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 and executive officers hold outstanding Company equity awards;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directors and officers are subject to a voting and support agreement in favor of the adoption and approval of the Merger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executive officers is a party to an employment agreement that provides for severance benefits upon a qualifying termination of employment in connection with a change in control, which includes the Merger;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equity awards, whether vested or unvested (other than out-of-the-money options), held by our executive officers will be cancelled at the Effective Time in exchange for a cash payment, plus a certain number of CVRs, under the terms of the Merger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equity awards held by our non-employee directors will vest in full at the Effective Time, under the terms of the applicable award agreement underlying such equity award;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executive officers may continue to provide employment or other services to Lilly after the Effective Time and may enter into new agreements, arrangements or understandings with Lilly to set forth the terms and compensation of such post-Effective Time service.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Merger Agreement contains provisions that could make it difficult for a third-party to acquire us prior to the completion of the Merger.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Merger Agreement contains restrictions on our ability to obtain a third-party proposal for an acquisition of our Company. These provisions include our agreement not to solicit or initiate any additional discussions with third parties regarding other proposals to acquire us, as well as restrictions on our ability to respond to such proposals, subject to fulfillment of certain fiduciary requirements of our Board of Directors. The Merger Agreement also contains certain termination rights, including, under certain circumstances, a requirement for us to pay Lilly a termination fee of $104,300,000.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provisions might discourage an otherwise-interested third party from considering or proposing an acquisition of our Company, even one that may be deemed of greater value to our stockholders than the Merger. Furthermore, even if a third party elects to propose an acquisition, the concept of a termination fee may result in that third party offering a lower value to our stockholders than such third-party might otherwise have offered.</w:t>
      </w:r>
    </w:p>
    <w:p>
      <w:pPr>
        <w:pStyle w:val="TextBody"/>
        <w:bidi w:val="0"/>
        <w:spacing w:before="120" w:after="283"/>
        <w:jc w:val="left"/>
        <w:rPr>
          <w:rFonts w:ascii="Times New Roman" w:hAnsi="Times New Roman"/>
          <w:sz w:val="20"/>
        </w:rPr>
      </w:pPr>
      <w:r>
        <w:rPr>
          <w:rFonts w:ascii="Times New Roman" w:hAnsi="Times New Roman"/>
          <w:b/>
          <w:i/>
          <w:color w:val="000000"/>
          <w:sz w:val="20"/>
        </w:rPr>
        <w:t>While the Merger Agreement is in effect, we are subject to restrictions on our business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Merger Agreement includes restrictions on the conduct of our business prior to the completion of the Merger, generally requiring us to use commercially reasonable efforts to conduct our business in the ordinary course consistent with past practice, including using commercially reasonable efforts to preserve our business organization and goodwill and maintain existing relationships with customers, suppliers, officers, employees and creditors. In addition, we are subject to a variety of specified restrictions. Unless we obtain Lilly’s prior written consent (which consent may not be unreasonably withheld, conditioned or delayed), except as specifically required by the Merger Agreement or required by applicable law, we may not, among other things and subject to certain exceptions, limitations and qualifications, incur additional indebtedness, issue additional shares of our common stock outside of our equity incentive plans, pay distributions, acquire certain assets or securities, sell or dispose of certain material intellectual property, enter into material contracts other than in the ordinary course of business, or make certain capital expenditures. We may find that these and other contractual restrictions in the Merger Agreement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prevent us from responding, or limit our ability to respond, effectively to competitive pressures, industry developments and future business opportunities that may arise during such period, even if our management believes they may be advisable. If any of these effects were to occur, it could materially and adversely impact our operating results, financial position, cash flows or the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Securities class action and derivative lawsuits in connection with the Merger could result in substantial costs and prevent or delay the consummation of the Merger.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class action lawsuits and derivative lawsuits are often brought against public companies that have entered into acquisition or merger agreements. Defending against and settling or otherwise resolving these types of claims can result in substantial costs, including costs associated with indemnification of directors and officers, and divert management time and resources. An adverse judgment in any such litigation relating to the Merger could result in monetary damages, which could have a negative impact on our financial condition. If a plaintiff is successful in obtaining an injunction prohibiting completion of the Merger, that injunction could delay or prevent the Merger from being completed, which could negatively impact our business, financial condition, results of operations or our stock price.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stockholders may not receive any payment on the CVR and the CVR may expire valueless.</w:t>
      </w:r>
    </w:p>
    <w:p>
      <w:pPr>
        <w:pStyle w:val="TextBody"/>
        <w:bidi w:val="0"/>
        <w:spacing w:before="120" w:after="100"/>
        <w:jc w:val="left"/>
        <w:rPr>
          <w:rFonts w:ascii="Times New Roman" w:hAnsi="Times New Roman"/>
          <w:sz w:val="20"/>
        </w:rPr>
      </w:pPr>
      <w:r>
        <w:rPr>
          <w:rFonts w:ascii="Times New Roman" w:hAnsi="Times New Roman"/>
          <w:color w:val="000000"/>
          <w:sz w:val="20"/>
        </w:rPr>
        <w:t>If the Merger is completed, the holders of our common stock will be entitled to receive CVRs, subject to the terms and conditions of a Contingent Value Rights Agreement (the “</w:t>
      </w:r>
      <w:r>
        <w:rPr>
          <w:rFonts w:ascii="Times New Roman" w:hAnsi="Times New Roman"/>
          <w:color w:val="000000"/>
          <w:sz w:val="20"/>
          <w:u w:val="single"/>
        </w:rPr>
        <w:t>CVR Agreement</w:t>
      </w:r>
      <w:r>
        <w:rPr>
          <w:rFonts w:ascii="Times New Roman" w:hAnsi="Times New Roman"/>
          <w:color w:val="000000"/>
          <w:sz w:val="20"/>
        </w:rPr>
        <w:t>”). Each CVR will represent a contractual right to receive contingent cash payments upon achievement of specified development and regulatory milestones related to the BPL-003 and VLS-01 programs. There can be no assurance any payments will be made with respect to the CVRs. The CVRs will not be transferable, except in the limited circumstances specified in the CVR Agreement, will not have any voting or dividend rights, and will not represent any equity or ownership interest in Lilly or any constituent party to the Merger Agreement. Accordingly, the right of any of our stockholders to receive any future payment on or derive any value from the CVRs will be contingent solely upon the occurrence of certain events, as outlined in the CVR Agreement, and if no such events are achieved for any reason within the time periods specified in the CVR Agreement, no payments will be made under the CVRs, and the CVRs will expire valueless.</w:t>
      </w:r>
    </w:p>
    <w:p>
      <w:pPr>
        <w:pStyle w:val="TextBody"/>
        <w:bidi w:val="0"/>
        <w:jc w:val="left"/>
        <w:rPr/>
      </w:pPr>
      <w:r>
        <w:rPr/>
        <w:t> </w:t>
      </w:r>
    </w:p>
    <w:p>
      <w:pPr>
        <w:pStyle w:val="TextBody"/>
        <w:bidi w:val="0"/>
        <w:spacing w:before="240" w:after="100"/>
        <w:jc w:val="left"/>
        <w:rPr>
          <w:rFonts w:ascii="Times New Roman" w:hAnsi="Times New Roman"/>
          <w:sz w:val="20"/>
        </w:rPr>
      </w:pPr>
      <w:bookmarkStart w:id="22" w:name="part_ii_item_2_sales_of_securities"/>
      <w:bookmarkEnd w:id="22"/>
      <w:r>
        <w:rPr>
          <w:rFonts w:ascii="Times New Roman" w:hAnsi="Times New Roman"/>
          <w:b/>
          <w:color w:val="000000"/>
          <w:sz w:val="20"/>
        </w:rPr>
        <w:t xml:space="preserve">Item 2. Unregistered </w:t>
      </w:r>
      <w:bookmarkStart w:id="23" w:name="unregistered_sales_of_equity_securities"/>
      <w:bookmarkEnd w:id="23"/>
      <w:r>
        <w:rPr>
          <w:rFonts w:ascii="Times New Roman" w:hAnsi="Times New Roman"/>
          <w:b/>
          <w:color w:val="000000"/>
          <w:sz w:val="20"/>
        </w:rPr>
        <w:t>Sales of Equity Securities and Use of Proceeds.</w:t>
      </w:r>
      <w:r>
        <w:rPr>
          <w:rFonts w:ascii="Times New Roman" w:hAnsi="Times New Roman"/>
          <w:color w:val="000000"/>
          <w:sz w:val="20"/>
        </w:rPr>
        <w:t xml:space="preserve"> </w:t>
      </w:r>
    </w:p>
    <w:p>
      <w:pPr>
        <w:pStyle w:val="TextBody"/>
        <w:bidi w:val="0"/>
        <w:spacing w:before="20" w:after="10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40" w:after="283"/>
        <w:jc w:val="left"/>
        <w:rPr>
          <w:rFonts w:ascii="Times New Roman" w:hAnsi="Times New Roman"/>
          <w:sz w:val="20"/>
        </w:rPr>
      </w:pPr>
      <w:bookmarkStart w:id="24" w:name="part_ii_item_3_default_senior_securities"/>
      <w:bookmarkEnd w:id="24"/>
      <w:r>
        <w:rPr>
          <w:rFonts w:ascii="Times New Roman" w:hAnsi="Times New Roman"/>
          <w:b/>
          <w:color w:val="000000"/>
          <w:sz w:val="20"/>
        </w:rPr>
        <w:t>Item 3. Defaul</w:t>
      </w:r>
      <w:bookmarkStart w:id="25" w:name="defaults_upon_senior"/>
      <w:bookmarkEnd w:id="25"/>
      <w:r>
        <w:rPr>
          <w:rFonts w:ascii="Times New Roman" w:hAnsi="Times New Roman"/>
          <w:b/>
          <w:color w:val="000000"/>
          <w:sz w:val="20"/>
        </w:rPr>
        <w:t>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26" w:name="part_ii_item_4_mine_safety"/>
      <w:bookmarkEnd w:id="26"/>
      <w:r>
        <w:rPr>
          <w:rFonts w:ascii="Times New Roman" w:hAnsi="Times New Roman"/>
          <w:b/>
          <w:color w:val="000000"/>
          <w:sz w:val="20"/>
        </w:rPr>
        <w:t>Item 4. Mine</w:t>
      </w:r>
      <w:bookmarkStart w:id="27" w:name="mine_safety_disclosures"/>
      <w:bookmarkEnd w:id="27"/>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28" w:name="part_ii_item_5_other_information"/>
      <w:bookmarkEnd w:id="28"/>
      <w:r>
        <w:rPr>
          <w:rFonts w:ascii="Times New Roman" w:hAnsi="Times New Roman"/>
          <w:b/>
          <w:color w:val="000000"/>
          <w:sz w:val="20"/>
        </w:rPr>
        <w:t>Item 5. Oth</w:t>
      </w:r>
      <w:bookmarkStart w:id="29" w:name="item_5_other_information"/>
      <w:bookmarkEnd w:id="29"/>
      <w:r>
        <w:rPr>
          <w:rFonts w:ascii="Times New Roman" w:hAnsi="Times New Roman"/>
          <w:b/>
          <w:color w:val="000000"/>
          <w:sz w:val="20"/>
        </w:rPr>
        <w:t>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in lieu of reporting on a Current Report on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both"/>
        <w:rPr/>
      </w:pPr>
      <w:r>
        <w:rPr>
          <w:rFonts w:ascii="Times New Roman" w:hAnsi="Times New Roman"/>
          <w:b/>
          <w:i/>
          <w:color w:val="000000"/>
          <w:sz w:val="20"/>
        </w:rPr>
        <w:t>Material changes to the procedures by which security holders may recommend nominees to the board of directors.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Insider trading arrangements and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no director or “officer” of the Company (as defined in Rule 16a-1(f) of the Exchange Act) adopted or terminated a “Rule 10b5-1 trading arrangement” or a “non-Rule 10b5-1 trading arrangement,” as each term is defined in Item 408 of Regulation S-K.</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00"/>
        <w:jc w:val="left"/>
        <w:rPr>
          <w:rFonts w:ascii="Times New Roman" w:hAnsi="Times New Roman"/>
          <w:sz w:val="20"/>
        </w:rPr>
      </w:pPr>
      <w:bookmarkStart w:id="30" w:name="item_6_exhibits"/>
      <w:bookmarkEnd w:id="3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2"/>
        <w:gridCol w:w="146"/>
        <w:gridCol w:w="4856"/>
        <w:gridCol w:w="146"/>
        <w:gridCol w:w="634"/>
        <w:gridCol w:w="146"/>
        <w:gridCol w:w="740"/>
        <w:gridCol w:w="146"/>
        <w:gridCol w:w="631"/>
        <w:gridCol w:w="146"/>
        <w:gridCol w:w="684"/>
        <w:gridCol w:w="146"/>
        <w:gridCol w:w="992"/>
      </w:tblGrid>
      <w:tr>
        <w:trPr/>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7"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color w:val="000000"/>
              </w:rPr>
            </w:pPr>
            <w:r>
              <w:rPr>
                <w:color w:val="000000"/>
              </w:rPr>
              <w:t> </w:t>
            </w: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Filed/Furnished</w:t>
              <w:br/>
              <w:t>Herewith</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as of July 15, 2026, by and among Eli Lilly and Company, Albali Acquisition Corporation and AtaiBeckley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7/16/2026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Incorporation of AtaiBeckley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8-K12B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Bylaws of AtaiBeckley Inc., adopted as of December 30,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8-K12B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Voting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7/16/2026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atai-ex31_1.htm">
              <w:r>
                <w:rPr>
                  <w:rStyle w:val="InternetLink"/>
                  <w:rFonts w:ascii="Times New Roman" w:hAnsi="Times New Roman"/>
                  <w:color w:val="0000FF"/>
                  <w:sz w:val="20"/>
                  <w:u w:val="single"/>
                </w:rPr>
                <w:t>Certification of Principal Executive Officer pursuant to Exchange Act Rule 13a-14(a)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atai-ex31_2.htm">
              <w:r>
                <w:rPr>
                  <w:rStyle w:val="InternetLink"/>
                  <w:rFonts w:ascii="Times New Roman" w:hAnsi="Times New Roman"/>
                  <w:color w:val="0000FF"/>
                  <w:sz w:val="20"/>
                  <w:u w:val="single"/>
                </w:rPr>
                <w:t>Certification of Principal Financial Officer pursuant to Exchange Act Rule 13a-14(a)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atai-ex32_1.htm">
              <w:r>
                <w:rPr>
                  <w:rStyle w:val="InternetLink"/>
                  <w:rFonts w:ascii="Times New Roman" w:hAnsi="Times New Roman"/>
                  <w:color w:val="0000FF"/>
                  <w:sz w:val="20"/>
                  <w:u w:val="single"/>
                </w:rPr>
                <w:t>Certification of Principal Executive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atai-ex32_2.htm">
              <w:r>
                <w:rPr>
                  <w:rStyle w:val="InternetLink"/>
                  <w:rFonts w:ascii="Times New Roman" w:hAnsi="Times New Roman"/>
                  <w:color w:val="0000FF"/>
                  <w:sz w:val="20"/>
                  <w:u w:val="single"/>
                </w:rPr>
                <w:t>Certification of Principal Financial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
        <w:gridCol w:w="9908"/>
      </w:tblGrid>
      <w:tr>
        <w:trPr/>
        <w:tc>
          <w:tcPr>
            <w:tcW w:w="297" w:type="dxa"/>
            <w:tcBorders/>
            <w:vAlign w:val="center"/>
          </w:tcPr>
          <w:p>
            <w:pPr>
              <w:pStyle w:val="TableContents"/>
              <w:bidi w:val="0"/>
              <w:spacing w:before="0" w:after="283"/>
              <w:jc w:val="left"/>
              <w:rPr>
                <w:sz w:val="4"/>
                <w:szCs w:val="4"/>
              </w:rPr>
            </w:pPr>
            <w:r>
              <w:rPr>
                <w:sz w:val="4"/>
                <w:szCs w:val="4"/>
              </w:rPr>
            </w:r>
          </w:p>
        </w:tc>
        <w:tc>
          <w:tcPr>
            <w:tcW w:w="9908" w:type="dxa"/>
            <w:tcBorders/>
            <w:vAlign w:val="center"/>
          </w:tcPr>
          <w:p>
            <w:pPr>
              <w:pStyle w:val="TableContents"/>
              <w:bidi w:val="0"/>
              <w:spacing w:before="0" w:after="283"/>
              <w:jc w:val="left"/>
              <w:rPr>
                <w:sz w:val="4"/>
                <w:szCs w:val="4"/>
              </w:rPr>
            </w:pPr>
            <w:r>
              <w:rPr>
                <w:sz w:val="4"/>
                <w:szCs w:val="4"/>
              </w:rPr>
            </w:r>
          </w:p>
        </w:tc>
      </w:tr>
      <w:tr>
        <w:trPr/>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Schedules omitted pursuant to Item 601(a)(5) of Regulation S-K. The Company agrees to furnish supplementally a copy of any omitted schedule to the SEC upon request</w:t>
            </w:r>
          </w:p>
        </w:tc>
      </w:tr>
      <w:tr>
        <w:trPr/>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portions of this exhibit (indicated by “[***]”) have been redacted pursuant to Regulation S-K, Item 601(a)(6)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1" w:name="signatures"/>
      <w:bookmarkEnd w:id="31"/>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7" w:after="283"/>
        <w:jc w:val="left"/>
        <w:rPr/>
      </w:pPr>
      <w:r>
        <w:rPr/>
        <w:t> </w:t>
      </w:r>
    </w:p>
    <w:tbl>
      <w:tblPr>
        <w:tblW w:w="5462" w:type="dxa"/>
        <w:jc w:val="left"/>
        <w:tblInd w:w="0" w:type="dxa"/>
        <w:tblLayout w:type="fixed"/>
        <w:tblCellMar>
          <w:top w:w="28" w:type="dxa"/>
          <w:left w:w="28" w:type="dxa"/>
          <w:bottom w:w="28" w:type="dxa"/>
          <w:right w:w="28" w:type="dxa"/>
        </w:tblCellMar>
      </w:tblPr>
      <w:tblGrid>
        <w:gridCol w:w="1951"/>
        <w:gridCol w:w="146"/>
        <w:gridCol w:w="146"/>
        <w:gridCol w:w="146"/>
        <w:gridCol w:w="406"/>
        <w:gridCol w:w="146"/>
        <w:gridCol w:w="252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AtaiBeckley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Srinivas Rao</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Srinivas Rao</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Faerm</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Faerm</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bookmarkStart w:id="32" w:name="atai-ex31_1.htm"/>
      <w:bookmarkStart w:id="33" w:name="ksataiex31_1"/>
      <w:bookmarkEnd w:id="32"/>
      <w:bookmarkEnd w:id="33"/>
      <w:r>
        <w:rPr/>
        <w:t> </w:t>
      </w:r>
      <w:r>
        <w:br w:type="page"/>
      </w:r>
    </w:p>
    <w:p>
      <w:pPr>
        <w:pStyle w:val="TextBody"/>
        <w:bidi w:val="0"/>
        <w:spacing w:before="84" w:after="283"/>
        <w:jc w:val="right"/>
        <w:rPr>
          <w:rFonts w:ascii="Times New Roman" w:hAnsi="Times New Roman"/>
          <w:b/>
          <w:color w:val="000000"/>
          <w:sz w:val="18"/>
        </w:rPr>
      </w:pPr>
      <w:r>
        <w:rPr>
          <w:rFonts w:ascii="Times New Roman" w:hAnsi="Times New Roman"/>
          <w:b/>
          <w:color w:val="000000"/>
          <w:sz w:val="18"/>
        </w:rPr>
        <w:t>Exhibit 31.1</w:t>
      </w:r>
    </w:p>
    <w:p>
      <w:pPr>
        <w:pStyle w:val="TextBody"/>
        <w:bidi w:val="0"/>
        <w:spacing w:before="2" w:after="283"/>
        <w:jc w:val="left"/>
        <w:rPr/>
      </w:pPr>
      <w:r>
        <w:rPr/>
        <w:t> </w:t>
      </w:r>
    </w:p>
    <w:p>
      <w:pPr>
        <w:pStyle w:val="TextBody"/>
        <w:bidi w:val="0"/>
        <w:spacing w:before="37" w:after="283"/>
        <w:jc w:val="center"/>
        <w:rPr>
          <w:rFonts w:ascii="Times New Roman" w:hAnsi="Times New Roman"/>
          <w:b/>
          <w:color w:val="000000"/>
          <w:sz w:val="18"/>
        </w:rPr>
      </w:pPr>
      <w:r>
        <w:rPr>
          <w:rFonts w:ascii="Times New Roman" w:hAnsi="Times New Roman"/>
          <w:b/>
          <w:color w:val="000000"/>
          <w:sz w:val="18"/>
        </w:rPr>
        <w:t>CERTIFICATION</w:t>
      </w:r>
    </w:p>
    <w:p>
      <w:pPr>
        <w:pStyle w:val="TextBody"/>
        <w:bidi w:val="0"/>
        <w:spacing w:before="17"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 Srinivas Rao, certify that: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 have reviewed this Quarterly Report on Form 10-Q of AtaiBeckley Inc.;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spacing w:before="10" w:after="283"/>
        <w:jc w:val="left"/>
        <w:rPr/>
      </w:pPr>
      <w:r>
        <w:rPr/>
        <w:t> </w:t>
      </w:r>
    </w:p>
    <w:tbl>
      <w:tblPr>
        <w:tblW w:w="4318" w:type="dxa"/>
        <w:jc w:val="left"/>
        <w:tblInd w:w="0" w:type="dxa"/>
        <w:tblLayout w:type="fixed"/>
        <w:tblCellMar>
          <w:top w:w="28" w:type="dxa"/>
          <w:left w:w="28" w:type="dxa"/>
          <w:bottom w:w="28" w:type="dxa"/>
          <w:right w:w="28" w:type="dxa"/>
        </w:tblCellMar>
      </w:tblPr>
      <w:tblGrid>
        <w:gridCol w:w="1781"/>
        <w:gridCol w:w="361"/>
        <w:gridCol w:w="2176"/>
      </w:tblGrid>
      <w:tr>
        <w:trPr/>
        <w:tc>
          <w:tcPr>
            <w:tcW w:w="17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ind w:left="0" w:right="0" w:firstLine="40"/>
              <w:jc w:val="left"/>
              <w:rPr>
                <w:sz w:val="4"/>
                <w:szCs w:val="4"/>
              </w:rPr>
            </w:pPr>
            <w:r>
              <w:rPr>
                <w:sz w:val="4"/>
                <w:szCs w:val="4"/>
              </w:rPr>
            </w:r>
          </w:p>
        </w:tc>
      </w:tr>
      <w:tr>
        <w:trPr/>
        <w:tc>
          <w:tcPr>
            <w:tcW w:w="1781" w:type="dxa"/>
            <w:tcBorders/>
            <w:tcMar>
              <w:top w:w="0" w:type="dxa"/>
              <w:left w:w="0" w:type="dxa"/>
              <w:bottom w:w="0" w:type="dxa"/>
              <w:right w:w="0" w:type="dxa"/>
            </w:tcMar>
            <w:vAlign w:val="center"/>
          </w:tcPr>
          <w:p>
            <w:pPr>
              <w:pStyle w:val="TableContents"/>
              <w:bidi w:val="0"/>
              <w:spacing w:before="77" w:after="283"/>
              <w:ind w:left="0" w:right="0" w:firstLine="40"/>
              <w:jc w:val="left"/>
              <w:rPr>
                <w:rFonts w:ascii="Times New Roman" w:hAnsi="Times New Roman"/>
                <w:color w:val="000000"/>
                <w:sz w:val="18"/>
              </w:rPr>
            </w:pPr>
            <w:r>
              <w:rPr>
                <w:rFonts w:ascii="Times New Roman" w:hAnsi="Times New Roman"/>
                <w:color w:val="000000"/>
                <w:sz w:val="18"/>
              </w:rPr>
              <w:t>Date: August 11, 2026</w:t>
            </w:r>
          </w:p>
        </w:tc>
        <w:tc>
          <w:tcPr>
            <w:tcW w:w="361" w:type="dxa"/>
            <w:tcBorders/>
            <w:tcMar>
              <w:top w:w="0" w:type="dxa"/>
              <w:left w:w="0" w:type="dxa"/>
              <w:bottom w:w="0" w:type="dxa"/>
              <w:right w:w="0" w:type="dxa"/>
            </w:tcMar>
            <w:vAlign w:val="center"/>
          </w:tcPr>
          <w:p>
            <w:pPr>
              <w:pStyle w:val="TableContents"/>
              <w:bidi w:val="0"/>
              <w:spacing w:before="77" w:after="283"/>
              <w:jc w:val="right"/>
              <w:rPr>
                <w:rFonts w:ascii="Times New Roman" w:hAnsi="Times New Roman"/>
                <w:color w:val="000000"/>
                <w:sz w:val="18"/>
              </w:rPr>
            </w:pPr>
            <w:r>
              <w:rPr>
                <w:rFonts w:ascii="Times New Roman" w:hAnsi="Times New Roman"/>
                <w:color w:val="000000"/>
                <w:sz w:val="18"/>
              </w:rPr>
              <w:t>By:</w:t>
            </w:r>
          </w:p>
        </w:tc>
        <w:tc>
          <w:tcPr>
            <w:tcW w:w="2176" w:type="dxa"/>
            <w:tcBorders>
              <w:bottom w:val="single" w:sz="6" w:space="0" w:color="000000"/>
            </w:tcBorders>
            <w:tcMar>
              <w:top w:w="0" w:type="dxa"/>
              <w:left w:w="0" w:type="dxa"/>
              <w:right w:w="0" w:type="dxa"/>
            </w:tcMar>
            <w:vAlign w:val="center"/>
          </w:tcPr>
          <w:p>
            <w:pPr>
              <w:pStyle w:val="TableContents"/>
              <w:bidi w:val="0"/>
              <w:spacing w:before="77" w:after="283"/>
              <w:jc w:val="center"/>
              <w:rPr>
                <w:rFonts w:ascii="Times New Roman" w:hAnsi="Times New Roman"/>
                <w:color w:val="000000"/>
                <w:sz w:val="18"/>
              </w:rPr>
            </w:pPr>
            <w:r>
              <w:rPr>
                <w:rFonts w:ascii="Times New Roman" w:hAnsi="Times New Roman"/>
                <w:color w:val="000000"/>
                <w:sz w:val="18"/>
              </w:rPr>
              <w:t>/s/ Srinivas Rao</w:t>
            </w:r>
          </w:p>
        </w:tc>
      </w:tr>
      <w:tr>
        <w:trPr/>
        <w:tc>
          <w:tcPr>
            <w:tcW w:w="1781" w:type="dxa"/>
            <w:tcBorders/>
            <w:tcMar>
              <w:top w:w="0" w:type="dxa"/>
              <w:left w:w="0" w:type="dxa"/>
              <w:bottom w:w="0" w:type="dxa"/>
              <w:right w:w="0" w:type="dxa"/>
            </w:tcMar>
            <w:vAlign w:val="center"/>
          </w:tcPr>
          <w:p>
            <w:pPr>
              <w:pStyle w:val="TableContents"/>
              <w:bidi w:val="0"/>
              <w:spacing w:before="0" w:after="200"/>
              <w:jc w:val="left"/>
              <w:rPr/>
            </w:pPr>
            <w:r>
              <w:rPr/>
              <w:t> </w:t>
            </w:r>
          </w:p>
        </w:tc>
        <w:tc>
          <w:tcPr>
            <w:tcW w:w="361" w:type="dxa"/>
            <w:tcBorders/>
            <w:tcMar>
              <w:top w:w="0" w:type="dxa"/>
              <w:left w:w="0" w:type="dxa"/>
              <w:bottom w:w="0" w:type="dxa"/>
              <w:right w:w="0" w:type="dxa"/>
            </w:tcMar>
            <w:vAlign w:val="center"/>
          </w:tcPr>
          <w:p>
            <w:pPr>
              <w:pStyle w:val="TableContents"/>
              <w:bidi w:val="0"/>
              <w:spacing w:before="0" w:after="200"/>
              <w:jc w:val="left"/>
              <w:rPr/>
            </w:pPr>
            <w:r>
              <w:rPr/>
              <w:t> </w:t>
            </w:r>
          </w:p>
        </w:tc>
        <w:tc>
          <w:tcPr>
            <w:tcW w:w="2176" w:type="dxa"/>
            <w:tcBorders/>
            <w:tcMar>
              <w:top w:w="0" w:type="dxa"/>
              <w:left w:w="0" w:type="dxa"/>
              <w:bottom w:w="0" w:type="dxa"/>
              <w:right w:w="0" w:type="dxa"/>
            </w:tcMar>
            <w:vAlign w:val="center"/>
          </w:tcPr>
          <w:p>
            <w:pPr>
              <w:pStyle w:val="TableContents"/>
              <w:bidi w:val="0"/>
              <w:spacing w:before="7" w:after="283"/>
              <w:jc w:val="center"/>
              <w:rPr>
                <w:rFonts w:ascii="Times New Roman" w:hAnsi="Times New Roman"/>
                <w:color w:val="000000"/>
                <w:sz w:val="18"/>
              </w:rPr>
            </w:pPr>
            <w:r>
              <w:rPr>
                <w:rFonts w:ascii="Times New Roman" w:hAnsi="Times New Roman"/>
                <w:color w:val="000000"/>
                <w:sz w:val="18"/>
              </w:rPr>
              <w:t xml:space="preserve">Srinivas Rao </w:t>
            </w:r>
          </w:p>
          <w:p>
            <w:pPr>
              <w:pStyle w:val="TableContents"/>
              <w:bidi w:val="0"/>
              <w:spacing w:before="7" w:after="283"/>
              <w:jc w:val="center"/>
              <w:rPr>
                <w:rFonts w:ascii="Times New Roman" w:hAnsi="Times New Roman"/>
                <w:color w:val="000000"/>
                <w:sz w:val="18"/>
              </w:rPr>
            </w:pPr>
            <w:r>
              <w:rPr>
                <w:rFonts w:ascii="Times New Roman" w:hAnsi="Times New Roman"/>
                <w:color w:val="000000"/>
                <w:sz w:val="18"/>
              </w:rPr>
              <w:t xml:space="preserve">Chief Executive Officer </w:t>
            </w:r>
          </w:p>
          <w:p>
            <w:pPr>
              <w:pStyle w:val="TableContents"/>
              <w:bidi w:val="0"/>
              <w:spacing w:before="7" w:after="283"/>
              <w:jc w:val="center"/>
              <w:rPr>
                <w:rFonts w:ascii="Times New Roman" w:hAnsi="Times New Roman"/>
                <w:i/>
                <w:color w:val="000000"/>
                <w:sz w:val="18"/>
              </w:rPr>
            </w:pPr>
            <w:r>
              <w:rPr>
                <w:rFonts w:ascii="Times New Roman" w:hAnsi="Times New Roman"/>
                <w:i/>
                <w:color w:val="000000"/>
                <w:sz w:val="18"/>
              </w:rPr>
              <w:t>(Principal Executive Officer)</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atai-ex31_2.htm"/>
      <w:bookmarkStart w:id="35" w:name="ksataiex31_2"/>
      <w:bookmarkEnd w:id="34"/>
      <w:bookmarkEnd w:id="35"/>
      <w:r>
        <w:rPr/>
        <w:t> </w:t>
      </w:r>
      <w:r>
        <w:br w:type="page"/>
      </w:r>
    </w:p>
    <w:p>
      <w:pPr>
        <w:pStyle w:val="TextBody"/>
        <w:bidi w:val="0"/>
        <w:spacing w:before="84" w:after="283"/>
        <w:jc w:val="right"/>
        <w:rPr>
          <w:rFonts w:ascii="Times New Roman" w:hAnsi="Times New Roman"/>
          <w:b/>
          <w:color w:val="000000"/>
          <w:sz w:val="18"/>
        </w:rPr>
      </w:pPr>
      <w:r>
        <w:rPr>
          <w:rFonts w:ascii="Times New Roman" w:hAnsi="Times New Roman"/>
          <w:b/>
          <w:color w:val="000000"/>
          <w:sz w:val="18"/>
        </w:rPr>
        <w:t>Exhibit 31.2</w:t>
      </w:r>
    </w:p>
    <w:p>
      <w:pPr>
        <w:pStyle w:val="TextBody"/>
        <w:bidi w:val="0"/>
        <w:spacing w:before="37" w:after="283"/>
        <w:jc w:val="center"/>
        <w:rPr>
          <w:rFonts w:ascii="Times New Roman" w:hAnsi="Times New Roman"/>
          <w:b/>
          <w:color w:val="000000"/>
          <w:sz w:val="18"/>
        </w:rPr>
      </w:pPr>
      <w:r>
        <w:rPr>
          <w:rFonts w:ascii="Times New Roman" w:hAnsi="Times New Roman"/>
          <w:b/>
          <w:color w:val="000000"/>
          <w:sz w:val="18"/>
        </w:rPr>
        <w:t>CERTIFICATION</w:t>
      </w:r>
    </w:p>
    <w:p>
      <w:pPr>
        <w:pStyle w:val="TextBody"/>
        <w:bidi w:val="0"/>
        <w:jc w:val="left"/>
        <w:rPr>
          <w:rFonts w:ascii="Times New Roman" w:hAnsi="Times New Roman"/>
          <w:color w:val="000000"/>
          <w:sz w:val="18"/>
        </w:rPr>
      </w:pPr>
      <w:r>
        <w:rPr>
          <w:rFonts w:ascii="Times New Roman" w:hAnsi="Times New Roman"/>
          <w:color w:val="000000"/>
          <w:sz w:val="18"/>
        </w:rPr>
        <w:t>I, Michael Faerm, certify that: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 have reviewed this Quarterly Report on Form 10-Q of AtaiBeckley Inc.;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tbl>
      <w:tblPr>
        <w:tblW w:w="4293" w:type="dxa"/>
        <w:jc w:val="left"/>
        <w:tblInd w:w="0" w:type="dxa"/>
        <w:tblLayout w:type="fixed"/>
        <w:tblCellMar>
          <w:top w:w="28" w:type="dxa"/>
          <w:left w:w="28" w:type="dxa"/>
          <w:bottom w:w="28" w:type="dxa"/>
          <w:right w:w="28" w:type="dxa"/>
        </w:tblCellMar>
      </w:tblPr>
      <w:tblGrid>
        <w:gridCol w:w="1741"/>
        <w:gridCol w:w="361"/>
        <w:gridCol w:w="2191"/>
      </w:tblGrid>
      <w:tr>
        <w:trPr/>
        <w:tc>
          <w:tcPr>
            <w:tcW w:w="17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11, 2026</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Michael Faerm</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Michael Faerm</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atai-ex32_1.htm"/>
      <w:bookmarkStart w:id="37" w:name="ksataiex32_1"/>
      <w:bookmarkEnd w:id="36"/>
      <w:bookmarkEnd w:id="37"/>
      <w:r>
        <w:rPr/>
        <w:t> </w:t>
      </w:r>
      <w:r>
        <w:br w:type="page"/>
      </w:r>
    </w:p>
    <w:p>
      <w:pPr>
        <w:pStyle w:val="TextBody"/>
        <w:bidi w:val="0"/>
        <w:spacing w:before="84" w:after="283"/>
        <w:jc w:val="right"/>
        <w:rPr>
          <w:rFonts w:ascii="Times New Roman" w:hAnsi="Times New Roman"/>
          <w:b/>
          <w:color w:val="000000"/>
          <w:sz w:val="18"/>
        </w:rPr>
      </w:pPr>
      <w:r>
        <w:rPr>
          <w:rFonts w:ascii="Times New Roman" w:hAnsi="Times New Roman"/>
          <w:b/>
          <w:color w:val="000000"/>
          <w:sz w:val="18"/>
        </w:rPr>
        <w:t>Exhibit 32.1</w:t>
      </w:r>
    </w:p>
    <w:p>
      <w:pPr>
        <w:pStyle w:val="TextBody"/>
        <w:bidi w:val="0"/>
        <w:spacing w:before="2"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br/>
        <w:t>SECTION 906 OF THE SARBANES-OXLEY ACT OF 2002</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connection with the Quarterly Report on Form 10-Q of AtaiBeckley Inc. (the “Company”)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4278" w:type="dxa"/>
        <w:jc w:val="left"/>
        <w:tblInd w:w="0" w:type="dxa"/>
        <w:tblLayout w:type="fixed"/>
        <w:tblCellMar>
          <w:top w:w="28" w:type="dxa"/>
          <w:left w:w="28" w:type="dxa"/>
          <w:bottom w:w="28" w:type="dxa"/>
          <w:right w:w="28" w:type="dxa"/>
        </w:tblCellMar>
      </w:tblPr>
      <w:tblGrid>
        <w:gridCol w:w="1741"/>
        <w:gridCol w:w="361"/>
        <w:gridCol w:w="2176"/>
      </w:tblGrid>
      <w:tr>
        <w:trPr/>
        <w:tc>
          <w:tcPr>
            <w:tcW w:w="17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11, 2026</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Srinivas Rao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Srinivas Rao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(Principal Executive Officer)</w:t>
            </w:r>
          </w:p>
        </w:tc>
      </w:tr>
    </w:tbl>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atai-ex32_2.htm"/>
      <w:bookmarkStart w:id="39" w:name="ksataiex32_2"/>
      <w:bookmarkEnd w:id="38"/>
      <w:bookmarkEnd w:id="39"/>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32.2</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br/>
        <w:t>SECTION 906 OF THE SARBANES-OXLEY ACT OF 2002</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connection with the Quarterly Report on Form 10-Q of AtaiBeckley Inc. (the “Company”)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spacing w:before="8" w:after="283"/>
        <w:jc w:val="left"/>
        <w:rPr/>
      </w:pPr>
      <w:r>
        <w:rPr/>
        <w:t> </w:t>
      </w:r>
    </w:p>
    <w:tbl>
      <w:tblPr>
        <w:tblW w:w="4293" w:type="dxa"/>
        <w:jc w:val="left"/>
        <w:tblInd w:w="0" w:type="dxa"/>
        <w:tblLayout w:type="fixed"/>
        <w:tblCellMar>
          <w:top w:w="28" w:type="dxa"/>
          <w:left w:w="28" w:type="dxa"/>
          <w:bottom w:w="28" w:type="dxa"/>
          <w:right w:w="28" w:type="dxa"/>
        </w:tblCellMar>
      </w:tblPr>
      <w:tblGrid>
        <w:gridCol w:w="1741"/>
        <w:gridCol w:w="361"/>
        <w:gridCol w:w="2191"/>
      </w:tblGrid>
      <w:tr>
        <w:trPr/>
        <w:tc>
          <w:tcPr>
            <w:tcW w:w="17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11, 2026</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Michael Faerm</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Michael Faerm</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81043/000114036126028604/ef20078103_ex2-1.htm" TargetMode="External"/><Relationship Id="rId3" Type="http://schemas.openxmlformats.org/officeDocument/2006/relationships/hyperlink" Target="https://www.sec.gov/Archives/edgar/data/2081043/000114036125046926/ef20061616_ex3-1.htm" TargetMode="External"/><Relationship Id="rId4" Type="http://schemas.openxmlformats.org/officeDocument/2006/relationships/hyperlink" Target="https://www.sec.gov/Archives/edgar/data/2081043/000114036125046926/ef20061616_ex3-2.htm" TargetMode="External"/><Relationship Id="rId5" Type="http://schemas.openxmlformats.org/officeDocument/2006/relationships/hyperlink" Target="https://www.sec.gov/Archives/edgar/data/2081043/000114036126028604/ef20078103_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38923</Words>
  <Characters>214389</Characters>
  <CharactersWithSpaces>254811</CharactersWithSpaces>
  <Paragraphs>8830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