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30_defa14a.htm"/>
      <w:bookmarkStart w:id="1" w:name="ksef20078130_defa14a"/>
      <w:bookmarkStart w:id="2" w:name="ef20078130_defa14a.htm"/>
      <w:bookmarkStart w:id="3" w:name="ksef20078130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25b3952355d4429db8cf3cf7420f3ab5"/>
      <w:bookmarkStart w:id="5" w:name="z25b3952355d4429db8cf3cf7420f3ab5"/>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color w:val="000000"/>
              </w:rPr>
            </w:pPr>
            <w:r>
              <w:rPr>
                <w:color w:val="000000"/>
              </w:rPr>
              <w:t>☐</w:t>
            </w:r>
          </w:p>
        </w:tc>
        <w:tc>
          <w:tcPr>
            <w:tcW w:w="2750" w:type="dxa"/>
            <w:tcBorders/>
            <w:vAlign w:val="center"/>
          </w:tcPr>
          <w:p>
            <w:pPr>
              <w:pStyle w:val="TableContents"/>
              <w:bidi w:val="0"/>
              <w:spacing w:before="0" w:after="0"/>
              <w:jc w:val="left"/>
              <w:rPr>
                <w:color w:val="000000"/>
              </w:rPr>
            </w:pPr>
            <w:r>
              <w:rPr>
                <w:color w:val="000000"/>
              </w:rPr>
              <w:t>Preliminary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da4776dc21774924afa6499a04671d2c"/>
      <w:bookmarkStart w:id="7" w:name="zda4776dc21774924afa6499a04671d2c"/>
      <w:bookmarkEnd w:id="7"/>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color w:val="000000"/>
              </w:rPr>
            </w:pPr>
            <w:r>
              <w:rPr>
                <w:color w:val="000000"/>
              </w:rPr>
              <w:t>☐</w:t>
            </w:r>
          </w:p>
        </w:tc>
        <w:tc>
          <w:tcPr>
            <w:tcW w:w="7700" w:type="dxa"/>
            <w:tcBorders/>
            <w:vAlign w:val="center"/>
          </w:tcPr>
          <w:p>
            <w:pPr>
              <w:pStyle w:val="TableContents"/>
              <w:bidi w:val="0"/>
              <w:spacing w:before="0" w:after="0"/>
              <w:jc w:val="left"/>
              <w:rPr>
                <w:color w:val="000000"/>
              </w:rPr>
            </w:pPr>
            <w:r>
              <w:rPr>
                <w:color w:val="000000"/>
              </w:rPr>
              <w:t>Confidential, for Use of the Commission Only (as permitted by Rule 14a-6(e)(2))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a71a58400614e5bb0f8f530a0ab4f50"/>
      <w:bookmarkStart w:id="9" w:name="zfa71a58400614e5bb0f8f530a0ab4f50"/>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olor w:val="000000"/>
              </w:rPr>
            </w:pPr>
            <w:r>
              <w:rPr>
                <w:color w:val="000000"/>
              </w:rPr>
              <w:t>☐</w:t>
            </w:r>
          </w:p>
        </w:tc>
        <w:tc>
          <w:tcPr>
            <w:tcW w:w="2600" w:type="dxa"/>
            <w:tcBorders/>
            <w:vAlign w:val="center"/>
          </w:tcPr>
          <w:p>
            <w:pPr>
              <w:pStyle w:val="TableContents"/>
              <w:bidi w:val="0"/>
              <w:spacing w:before="0" w:after="0"/>
              <w:jc w:val="left"/>
              <w:rPr>
                <w:color w:val="000000"/>
              </w:rPr>
            </w:pPr>
            <w:r>
              <w:rPr>
                <w:color w:val="000000"/>
              </w:rPr>
              <w:t>Definitive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6e01fff82a6149aba6830de1daff344f"/>
      <w:bookmarkStart w:id="11" w:name="z6e01fff82a6149aba6830de1daff344f"/>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color w:val="000000"/>
              </w:rPr>
            </w:pPr>
            <w:r>
              <w:rPr>
                <w:color w:val="000000"/>
              </w:rPr>
              <w:t>☐</w:t>
            </w:r>
          </w:p>
        </w:tc>
        <w:tc>
          <w:tcPr>
            <w:tcW w:w="2975" w:type="dxa"/>
            <w:tcBorders/>
            <w:vAlign w:val="center"/>
          </w:tcPr>
          <w:p>
            <w:pPr>
              <w:pStyle w:val="TableContents"/>
              <w:bidi w:val="0"/>
              <w:spacing w:before="0" w:after="0"/>
              <w:jc w:val="left"/>
              <w:rPr>
                <w:color w:val="000000"/>
              </w:rPr>
            </w:pPr>
            <w:r>
              <w:rPr>
                <w:color w:val="000000"/>
              </w:rPr>
              <w:t>Definitive Additional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a8acf3a5e0f944f5bc3257e28cec7758"/>
      <w:bookmarkStart w:id="13" w:name="za8acf3a5e0f944f5bc3257e28cec7758"/>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Soliciting Material under §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6def96bbb6194230814acdb04cb8e779"/>
      <w:bookmarkStart w:id="15" w:name="z6def96bbb6194230814acdb04cb8e779"/>
      <w:bookmarkEnd w:id="15"/>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color w:val="000000"/>
              </w:rPr>
            </w:pPr>
            <w:r>
              <w:rPr>
                <w:color w:val="000000"/>
              </w:rPr>
              <w:t>☒</w:t>
            </w:r>
          </w:p>
        </w:tc>
        <w:tc>
          <w:tcPr>
            <w:tcW w:w="1520" w:type="dxa"/>
            <w:tcBorders/>
            <w:vAlign w:val="center"/>
          </w:tcPr>
          <w:p>
            <w:pPr>
              <w:pStyle w:val="TableContents"/>
              <w:bidi w:val="0"/>
              <w:spacing w:before="0" w:after="0"/>
              <w:jc w:val="left"/>
              <w:rPr>
                <w:color w:val="000000"/>
              </w:rPr>
            </w:pPr>
            <w:r>
              <w:rPr>
                <w:color w:val="000000"/>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61d025da89834662a8f20a55064292c9"/>
      <w:bookmarkStart w:id="17" w:name="z61d025da89834662a8f20a55064292c9"/>
      <w:bookmarkEnd w:id="1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color w:val="000000"/>
              </w:rPr>
            </w:pPr>
            <w:r>
              <w:rPr>
                <w:color w:val="000000"/>
              </w:rPr>
              <w:t>☐</w:t>
            </w:r>
          </w:p>
        </w:tc>
        <w:tc>
          <w:tcPr>
            <w:tcW w:w="4415" w:type="dxa"/>
            <w:tcBorders/>
            <w:vAlign w:val="center"/>
          </w:tcPr>
          <w:p>
            <w:pPr>
              <w:pStyle w:val="TableContents"/>
              <w:bidi w:val="0"/>
              <w:spacing w:before="0" w:after="0"/>
              <w:jc w:val="left"/>
              <w:rPr>
                <w:color w:val="000000"/>
              </w:rPr>
            </w:pPr>
            <w:r>
              <w:rPr>
                <w:color w:val="000000"/>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91cc08ced2da44c1b3c39a4e785fc613"/>
      <w:bookmarkStart w:id="19" w:name="z91cc08ced2da44c1b3c39a4e785fc613"/>
      <w:bookmarkEnd w:id="19"/>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olor w:val="000000"/>
              </w:rPr>
            </w:pPr>
            <w:r>
              <w:rPr>
                <w:color w:val="000000"/>
              </w:rPr>
              <w:t>☐</w:t>
            </w:r>
          </w:p>
        </w:tc>
        <w:tc>
          <w:tcPr>
            <w:tcW w:w="9665" w:type="dxa"/>
            <w:tcBorders/>
            <w:vAlign w:val="center"/>
          </w:tcPr>
          <w:p>
            <w:pPr>
              <w:pStyle w:val="TableContents"/>
              <w:bidi w:val="0"/>
              <w:spacing w:before="0" w:after="0"/>
              <w:jc w:val="left"/>
              <w:rPr>
                <w:color w:val="000000"/>
              </w:rPr>
            </w:pPr>
            <w:r>
              <w:rPr>
                <w:color w:val="000000"/>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AtaiBeckley All-Team Email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All Team Members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From: Srinivas Rao, M.D., Ph.D., Co-Founder and Chief Executive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An Important Update on the Future of AtaiBeckley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Send Date: July 16,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 our founding, we have been guided by a clear vision: to transform patient outcomes by developing rapid-acting, durable, and convenient treatments for the millions of people living with serious mental health conditions. Thanks to each of you, we have built something remarkable, a company and a pipeline of novel psychedelic-based neuroplastogens, led by BPL-003, that is well positioned to deliver on that vision.</w:t>
      </w:r>
    </w:p>
    <w:p>
      <w:pPr>
        <w:pStyle w:val="TextBody"/>
        <w:bidi w:val="0"/>
        <w:spacing w:before="0" w:after="0"/>
        <w:jc w:val="left"/>
        <w:rPr>
          <w:color w:val="000000"/>
        </w:rPr>
      </w:pPr>
      <w:r>
        <w:rPr>
          <w:color w:val="000000"/>
        </w:rPr>
        <w:t> </w:t>
      </w:r>
    </w:p>
    <w:p>
      <w:pPr>
        <w:pStyle w:val="TextBody"/>
        <w:bidi w:val="0"/>
        <w:spacing w:before="0" w:after="0"/>
        <w:jc w:val="left"/>
        <w:rPr/>
      </w:pPr>
      <w:r>
        <w:rPr>
          <w:rFonts w:ascii="Times New Roman" w:hAnsi="Times New Roman"/>
          <w:color w:val="000000"/>
          <w:sz w:val="20"/>
        </w:rPr>
        <w:t xml:space="preserve">Just moments ago, we announced </w:t>
      </w:r>
      <w:hyperlink r:id="rId2">
        <w:r>
          <w:rPr>
            <w:rStyle w:val="InternetLink"/>
            <w:rFonts w:ascii="Times New Roman" w:hAnsi="Times New Roman"/>
            <w:b w:val="false"/>
            <w:color w:val="000000"/>
            <w:sz w:val="20"/>
          </w:rPr>
          <w:t>(link)</w:t>
        </w:r>
      </w:hyperlink>
      <w:r>
        <w:rPr>
          <w:rFonts w:ascii="Times New Roman" w:hAnsi="Times New Roman"/>
          <w:color w:val="000000"/>
          <w:sz w:val="20"/>
        </w:rPr>
        <w:t xml:space="preserve"> that AtaiBeckley is taking the next step in our journey. We have entered into a definitive agreement to be acquired by Eli Lilly and Company (“Lilly”). This transaction marks a significant milestone for us and underscores the strength of our differentiated portfolio, the clinical data supporting BPL-003, and the momentum across our pipeline. It also creates compelling, certain value for our shareholders and employees today, with additional potential upside through the CVRs.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we have advanced our programs through development, our decisions have remained grounded in a fundamental belief: the most important thing we can do is get BPL-003 and the other therapies in our pipeline to as many patients as possible, as quickly as possible. Our commitment to that goal was the driving force behind our decision to enter into this agreement with Lilly.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Lilly is a global leader in pharmaceutical innovation. BPL-003 and our differentiated pipeline broadens Lilly's neuroscience portfolio as it builds the next era of brain health, backed by the scale, manufacturing, and global commercial reach to bring innovative medicines to millions of patients. Combining our pipeline with Lilly's scale, resources and experience will potentially help us to reach more patients around the world, faster. I am confident this is the right way forward for AtaiBeckley and our stakeholders.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what this means for you, today's announcement is only the first step in the process to bring our companies together. Our mission remains the same and, for both companies, it is business as usual. We should all continue to do what we do best: move with urgency, execute with excellence, and deliver for patients.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 few key points: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163ecbeaf5d94638bc3090467ef0eeba"/>
      <w:bookmarkStart w:id="21" w:name="z163ecbeaf5d94638bc3090467ef0eeba"/>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sz w:val="24"/>
              </w:rPr>
            </w:pPr>
            <w:r>
              <w:rPr>
                <w:b/>
                <w:color w:val="000000"/>
                <w:sz w:val="20"/>
              </w:rPr>
              <w:t xml:space="preserve">Timing and next steps: </w:t>
            </w:r>
            <w:r>
              <w:rPr>
                <w:color w:val="000000"/>
                <w:sz w:val="20"/>
              </w:rPr>
              <w:t>The transaction will be completed through a merger that requires approval by AtaiBeckley stockholders. Until then, AtaiBeckley and Lilly remain separate companies and will continue to operate independently.</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2" w:name="z74aa178e6c88485facf28176757a7f2e"/>
      <w:bookmarkStart w:id="23" w:name="z74aa178e6c88485facf28176757a7f2e"/>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sz w:val="24"/>
              </w:rPr>
            </w:pPr>
            <w:r>
              <w:rPr>
                <w:b/>
                <w:color w:val="000000"/>
                <w:sz w:val="20"/>
              </w:rPr>
              <w:t xml:space="preserve">Town hall: </w:t>
            </w:r>
            <w:r>
              <w:rPr>
                <w:color w:val="000000"/>
                <w:sz w:val="20"/>
              </w:rPr>
              <w:t>Please join us for an All-Hands call today, Thursday, July 16 at 9:00 AM ET to share more details. A calendar invitation will follow shortly, and a set of FAQs is attached to answer questions that are likely top of mind. Please keep sending us your questions; they help us support each other through this transition.</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Speaking with one voice: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Announcements like this draw attention, so it is important that we speak with one voice: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b5666cb00d274331ab9749ecbb8ac44d"/>
      <w:bookmarkStart w:id="25" w:name="zb5666cb00d274331ab9749ecbb8ac44d"/>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 xml:space="preserve">Do not respond to external inquiries. Forward all investor or media inquiries to our Head of Investor Relations and Corporate Communications, Jason Awe, at </w:t>
            </w:r>
            <w:r>
              <w:rPr>
                <w:b/>
                <w:color w:val="000000"/>
              </w:rPr>
              <w:t>[***]</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efe6e0fbb5d04b20b56b992618059666"/>
      <w:bookmarkStart w:id="27" w:name="zefe6e0fbb5d04b20b56b992618059666"/>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Do not post or comment about the transaction on social media or external forums. You may like or repost the company's posts without adding any comments of your own.</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take a moment today to reflect on what we have accomplished together. Building a company capable of taking this step, with a partner like Lilly, happened because of you and our shared belief that people living with serious mental health conditions deserve far better than the status quo. Thank you for believing in our mission and for refusing to stop at “good enough.”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the beginning of an exciting new chapter. Let's keep supporting each other and our patients as we move forward, together.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Srini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contingent value rights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1043/000114036126028604/ef20078103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1896</Words>
  <Characters>10667</Characters>
  <CharactersWithSpaces>12526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