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103_defa14a.htm"/>
      <w:bookmarkStart w:id="1" w:name="ksef20078103_defa14a"/>
      <w:bookmarkStart w:id="2" w:name="ef20078103_defa14a.htm"/>
      <w:bookmarkStart w:id="3" w:name="ksef20078103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July 15,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ATAIBECKLEY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314"/>
        <w:gridCol w:w="2625"/>
        <w:gridCol w:w="3266"/>
      </w:tblGrid>
      <w:tr>
        <w:trPr/>
        <w:tc>
          <w:tcPr>
            <w:tcW w:w="4314" w:type="dxa"/>
            <w:tcBorders/>
            <w:vAlign w:val="center"/>
          </w:tcPr>
          <w:p>
            <w:pPr>
              <w:pStyle w:val="TableContents"/>
              <w:bidi w:val="0"/>
              <w:spacing w:before="0" w:after="0"/>
              <w:jc w:val="center"/>
              <w:rPr>
                <w:b/>
                <w:color w:val="000000"/>
              </w:rPr>
            </w:pPr>
            <w:r>
              <w:rPr>
                <w:b/>
                <w:color w:val="000000"/>
              </w:rPr>
              <w:t>Delaware</w:t>
            </w:r>
          </w:p>
        </w:tc>
        <w:tc>
          <w:tcPr>
            <w:tcW w:w="2625" w:type="dxa"/>
            <w:tcBorders/>
            <w:vAlign w:val="center"/>
          </w:tcPr>
          <w:p>
            <w:pPr>
              <w:pStyle w:val="TableContents"/>
              <w:bidi w:val="0"/>
              <w:spacing w:before="0" w:after="0"/>
              <w:jc w:val="center"/>
              <w:rPr>
                <w:b/>
                <w:color w:val="000000"/>
              </w:rPr>
            </w:pPr>
            <w:r>
              <w:rPr>
                <w:b/>
                <w:color w:val="000000"/>
              </w:rPr>
              <w:t>001-43037</w:t>
            </w:r>
          </w:p>
        </w:tc>
        <w:tc>
          <w:tcPr>
            <w:tcW w:w="3266" w:type="dxa"/>
            <w:tcBorders/>
            <w:vAlign w:val="center"/>
          </w:tcPr>
          <w:p>
            <w:pPr>
              <w:pStyle w:val="TableContents"/>
              <w:bidi w:val="0"/>
              <w:spacing w:before="0" w:after="0"/>
              <w:jc w:val="center"/>
              <w:rPr>
                <w:b/>
                <w:color w:val="000000"/>
              </w:rPr>
            </w:pPr>
            <w:r>
              <w:rPr>
                <w:b/>
                <w:color w:val="000000"/>
              </w:rPr>
              <w:t>41-3357923</w:t>
            </w:r>
          </w:p>
        </w:tc>
      </w:tr>
      <w:tr>
        <w:trPr/>
        <w:tc>
          <w:tcPr>
            <w:tcW w:w="4314" w:type="dxa"/>
            <w:tcBorders/>
            <w:vAlign w:val="center"/>
          </w:tcPr>
          <w:p>
            <w:pPr>
              <w:pStyle w:val="TableContents"/>
              <w:bidi w:val="0"/>
              <w:spacing w:before="0" w:after="0"/>
              <w:jc w:val="center"/>
              <w:rPr>
                <w:b/>
                <w:color w:val="000000"/>
              </w:rPr>
            </w:pPr>
            <w:r>
              <w:rPr>
                <w:b/>
                <w:color w:val="000000"/>
              </w:rPr>
              <w:t>(State or Other Jurisdiction of Incorporation)</w:t>
            </w:r>
          </w:p>
        </w:tc>
        <w:tc>
          <w:tcPr>
            <w:tcW w:w="2625" w:type="dxa"/>
            <w:tcBorders/>
            <w:vAlign w:val="center"/>
          </w:tcPr>
          <w:p>
            <w:pPr>
              <w:pStyle w:val="TableContents"/>
              <w:bidi w:val="0"/>
              <w:spacing w:before="0" w:after="0"/>
              <w:jc w:val="center"/>
              <w:rPr>
                <w:b/>
                <w:color w:val="000000"/>
              </w:rPr>
            </w:pPr>
            <w:r>
              <w:rPr>
                <w:b/>
                <w:color w:val="000000"/>
              </w:rPr>
              <w:t>(Commission File Number)</w:t>
            </w:r>
          </w:p>
        </w:tc>
        <w:tc>
          <w:tcPr>
            <w:tcW w:w="3266" w:type="dxa"/>
            <w:tcBorders/>
            <w:vAlign w:val="center"/>
          </w:tcPr>
          <w:p>
            <w:pPr>
              <w:pStyle w:val="TableContents"/>
              <w:bidi w:val="0"/>
              <w:spacing w:before="0" w:after="0"/>
              <w:jc w:val="center"/>
              <w:rPr>
                <w:b/>
                <w:color w:val="000000"/>
              </w:rPr>
            </w:pPr>
            <w:r>
              <w:rPr>
                <w:b/>
                <w:color w:val="000000"/>
              </w:rPr>
              <w:t>(IRS Employer Identification No.)</w:t>
            </w:r>
          </w:p>
        </w:tc>
      </w:tr>
    </w:tbl>
    <w:p>
      <w:pPr>
        <w:pStyle w:val="TextBody"/>
        <w:bidi w:val="0"/>
        <w:spacing w:before="0" w:after="0"/>
        <w:jc w:val="left"/>
        <w:rPr>
          <w:color w:val="000000"/>
        </w:rPr>
      </w:pPr>
      <w:r>
        <w:rPr>
          <w:color w:val="000000"/>
        </w:rPr>
        <w:t> </w:t>
      </w:r>
    </w:p>
    <w:tbl>
      <w:tblPr>
        <w:tblW w:w="8575" w:type="dxa"/>
        <w:jc w:val="left"/>
        <w:tblInd w:w="0" w:type="dxa"/>
        <w:tblLayout w:type="fixed"/>
        <w:tblCellMar>
          <w:top w:w="0" w:type="dxa"/>
          <w:left w:w="0" w:type="dxa"/>
          <w:bottom w:w="0" w:type="dxa"/>
          <w:right w:w="0" w:type="dxa"/>
        </w:tblCellMar>
      </w:tblPr>
      <w:tblGrid>
        <w:gridCol w:w="7385"/>
        <w:gridCol w:w="60"/>
        <w:gridCol w:w="1130"/>
      </w:tblGrid>
      <w:tr>
        <w:trPr/>
        <w:tc>
          <w:tcPr>
            <w:tcW w:w="7385" w:type="dxa"/>
            <w:tcBorders/>
            <w:vAlign w:val="center"/>
          </w:tcPr>
          <w:p>
            <w:pPr>
              <w:pStyle w:val="TableContents"/>
              <w:bidi w:val="0"/>
              <w:spacing w:before="0" w:after="0"/>
              <w:jc w:val="center"/>
              <w:rPr>
                <w:b/>
                <w:color w:val="000000"/>
              </w:rPr>
            </w:pPr>
            <w:r>
              <w:rPr>
                <w:b/>
                <w:color w:val="000000"/>
              </w:rPr>
              <w:t>c/o atai Life Sciences US, Inc. c/o Industrious NYC, 250 West 34th Street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0"/>
              <w:jc w:val="center"/>
              <w:rPr>
                <w:b/>
                <w:color w:val="000000"/>
              </w:rPr>
            </w:pPr>
            <w:r>
              <w:rPr>
                <w:b/>
                <w:color w:val="000000"/>
              </w:rPr>
              <w:t>New York, New York</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center"/>
              <w:rPr>
                <w:b/>
                <w:color w:val="000000"/>
              </w:rPr>
            </w:pPr>
            <w:r>
              <w:rPr>
                <w:b/>
                <w:color w:val="000000"/>
              </w:rPr>
              <w:t>10119</w:t>
            </w:r>
          </w:p>
        </w:tc>
      </w:tr>
      <w:tr>
        <w:trPr/>
        <w:tc>
          <w:tcPr>
            <w:tcW w:w="7385" w:type="dxa"/>
            <w:tcBorders/>
            <w:vAlign w:val="center"/>
          </w:tcPr>
          <w:p>
            <w:pPr>
              <w:pStyle w:val="TableContents"/>
              <w:bidi w:val="0"/>
              <w:spacing w:before="0" w:after="0"/>
              <w:jc w:val="center"/>
              <w:rPr>
                <w:b/>
                <w:color w:val="000000"/>
              </w:rPr>
            </w:pPr>
            <w:r>
              <w:rPr>
                <w:b/>
                <w:color w:val="000000"/>
              </w:rPr>
              <w:t>(Address of Principal Executive Offices)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center"/>
              <w:rPr>
                <w:b/>
                <w:color w:val="000000"/>
              </w:rPr>
            </w:pPr>
            <w:r>
              <w:rPr>
                <w:b/>
                <w:color w:val="00000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 (332) 282-0507</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p>
      <w:pPr>
        <w:pStyle w:val="TextBody"/>
        <w:bidi w:val="0"/>
        <w:spacing w:before="0" w:after="0"/>
        <w:ind w:left="180" w:right="0" w:hanging="180"/>
        <w:jc w:val="left"/>
        <w:rPr>
          <w:color w:val="000000"/>
        </w:rPr>
      </w:pPr>
      <w:r>
        <w:rPr>
          <w:color w:val="000000"/>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TextBody"/>
        <w:bidi w:val="0"/>
        <w:spacing w:before="0" w:after="0"/>
        <w:ind w:left="180" w:right="0" w:hanging="18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TextBody"/>
        <w:bidi w:val="0"/>
        <w:spacing w:before="0" w:after="0"/>
        <w:ind w:left="180" w:right="0" w:hanging="18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3838"/>
        <w:gridCol w:w="60"/>
        <w:gridCol w:w="1015"/>
        <w:gridCol w:w="60"/>
        <w:gridCol w:w="5232"/>
      </w:tblGrid>
      <w:tr>
        <w:trPr/>
        <w:tc>
          <w:tcPr>
            <w:tcW w:w="3838" w:type="dxa"/>
            <w:tcBorders>
              <w:bottom w:val="single" w:sz="12" w:space="0" w:color="000000"/>
            </w:tcBorders>
            <w:vAlign w:val="center"/>
          </w:tcPr>
          <w:p>
            <w:pPr>
              <w:pStyle w:val="TableContents"/>
              <w:bidi w:val="0"/>
              <w:spacing w:before="0" w:after="0"/>
              <w:jc w:val="center"/>
              <w:rPr>
                <w:b/>
                <w:color w:val="000000"/>
              </w:rPr>
            </w:pPr>
            <w:r>
              <w:rPr>
                <w:b/>
                <w:color w:val="00000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15" w:type="dxa"/>
            <w:tcBorders>
              <w:bottom w:val="single" w:sz="12" w:space="0" w:color="000000"/>
            </w:tcBorders>
            <w:vAlign w:val="center"/>
          </w:tcPr>
          <w:p>
            <w:pPr>
              <w:pStyle w:val="TableContents"/>
              <w:bidi w:val="0"/>
              <w:spacing w:before="0" w:after="0"/>
              <w:jc w:val="center"/>
              <w:rPr>
                <w:b/>
                <w:color w:val="000000"/>
              </w:rPr>
            </w:pPr>
            <w:r>
              <w:rPr>
                <w:b/>
                <w:color w:val="000000"/>
              </w:rPr>
              <w:t>Trading</w:t>
            </w:r>
          </w:p>
          <w:p>
            <w:pPr>
              <w:pStyle w:val="TableContents"/>
              <w:bidi w:val="0"/>
              <w:spacing w:before="0" w:after="0"/>
              <w:jc w:val="center"/>
              <w:rPr>
                <w:b/>
                <w:color w:val="000000"/>
              </w:rPr>
            </w:pPr>
            <w:r>
              <w:rPr>
                <w:b/>
                <w:color w:val="000000"/>
              </w:rPr>
              <w:t>Symbol(s)</w:t>
            </w:r>
          </w:p>
        </w:tc>
        <w:tc>
          <w:tcPr>
            <w:tcW w:w="60" w:type="dxa"/>
            <w:tcBorders/>
            <w:tcMar>
              <w:bottom w:w="0" w:type="dxa"/>
            </w:tcMar>
            <w:vAlign w:val="center"/>
          </w:tcPr>
          <w:p>
            <w:pPr>
              <w:pStyle w:val="TableContents"/>
              <w:bidi w:val="0"/>
              <w:spacing w:before="0" w:after="283"/>
              <w:jc w:val="left"/>
              <w:rPr/>
            </w:pPr>
            <w:r>
              <w:rPr/>
              <w:t> </w:t>
            </w:r>
          </w:p>
        </w:tc>
        <w:tc>
          <w:tcPr>
            <w:tcW w:w="5232" w:type="dxa"/>
            <w:tcBorders>
              <w:bottom w:val="single" w:sz="12" w:space="0" w:color="000000"/>
            </w:tcBorders>
            <w:vAlign w:val="center"/>
          </w:tcPr>
          <w:p>
            <w:pPr>
              <w:pStyle w:val="TableContents"/>
              <w:bidi w:val="0"/>
              <w:spacing w:before="0" w:after="0"/>
              <w:jc w:val="center"/>
              <w:rPr>
                <w:b/>
                <w:color w:val="000000"/>
              </w:rPr>
            </w:pPr>
            <w:r>
              <w:rPr>
                <w:b/>
                <w:color w:val="000000"/>
              </w:rPr>
              <w:t>Name of each exchange</w:t>
            </w:r>
          </w:p>
          <w:p>
            <w:pPr>
              <w:pStyle w:val="TableContents"/>
              <w:bidi w:val="0"/>
              <w:spacing w:before="0" w:after="0"/>
              <w:jc w:val="center"/>
              <w:rPr>
                <w:b/>
                <w:color w:val="000000"/>
              </w:rPr>
            </w:pPr>
            <w:r>
              <w:rPr>
                <w:b/>
                <w:color w:val="000000"/>
              </w:rPr>
              <w:t>on which registered</w:t>
            </w:r>
          </w:p>
        </w:tc>
      </w:tr>
      <w:tr>
        <w:trPr/>
        <w:tc>
          <w:tcPr>
            <w:tcW w:w="3838" w:type="dxa"/>
            <w:tcBorders/>
            <w:tcMar>
              <w:bottom w:w="0" w:type="dxa"/>
            </w:tcMar>
            <w:vAlign w:val="center"/>
          </w:tcPr>
          <w:p>
            <w:pPr>
              <w:pStyle w:val="TableContents"/>
              <w:bidi w:val="0"/>
              <w:spacing w:before="0" w:after="0"/>
              <w:jc w:val="center"/>
              <w:rPr>
                <w:color w:val="000000"/>
              </w:rPr>
            </w:pPr>
            <w:r>
              <w:rPr>
                <w:color w:val="000000"/>
              </w:rPr>
              <w:t>Common stock, $0.01 par value per share</w:t>
            </w:r>
          </w:p>
        </w:tc>
        <w:tc>
          <w:tcPr>
            <w:tcW w:w="60"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0"/>
              <w:jc w:val="center"/>
              <w:rPr>
                <w:color w:val="000000"/>
              </w:rPr>
            </w:pPr>
            <w:r>
              <w:rPr>
                <w:color w:val="000000"/>
              </w:rPr>
              <w:t>ATAI</w:t>
            </w:r>
          </w:p>
        </w:tc>
        <w:tc>
          <w:tcPr>
            <w:tcW w:w="60" w:type="dxa"/>
            <w:tcBorders/>
            <w:tcMar>
              <w:bottom w:w="0" w:type="dxa"/>
            </w:tcMar>
            <w:vAlign w:val="center"/>
          </w:tcPr>
          <w:p>
            <w:pPr>
              <w:pStyle w:val="TableContents"/>
              <w:bidi w:val="0"/>
              <w:spacing w:before="0" w:after="283"/>
              <w:jc w:val="left"/>
              <w:rPr/>
            </w:pPr>
            <w:r>
              <w:rPr/>
              <w:t> </w:t>
            </w:r>
          </w:p>
        </w:tc>
        <w:tc>
          <w:tcPr>
            <w:tcW w:w="5232" w:type="dxa"/>
            <w:tcBorders/>
            <w:tcMar>
              <w:bottom w:w="0" w:type="dxa"/>
            </w:tcMar>
            <w:vAlign w:val="center"/>
          </w:tcPr>
          <w:p>
            <w:pPr>
              <w:pStyle w:val="TableContents"/>
              <w:bidi w:val="0"/>
              <w:spacing w:before="0" w:after="0"/>
              <w:jc w:val="center"/>
              <w:rPr>
                <w:color w:val="000000"/>
              </w:rPr>
            </w:pPr>
            <w:r>
              <w:rPr>
                <w:color w:val="000000"/>
              </w:rPr>
              <w:t>The Nasdaq Stock Market LLC (Nasdaq Global Market)</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color w:val="000000"/>
              </w:rPr>
            </w:pPr>
            <w:r>
              <w:rPr>
                <w:b/>
                <w:color w:val="000000"/>
              </w:rPr>
              <w:t>Item 1.01</w:t>
            </w:r>
          </w:p>
        </w:tc>
        <w:tc>
          <w:tcPr>
            <w:tcW w:w="4475" w:type="dxa"/>
            <w:tcBorders/>
            <w:vAlign w:val="center"/>
          </w:tcPr>
          <w:p>
            <w:pPr>
              <w:pStyle w:val="TableContents"/>
              <w:bidi w:val="0"/>
              <w:spacing w:before="0" w:after="0"/>
              <w:jc w:val="left"/>
              <w:rPr>
                <w:b/>
                <w:color w:val="000000"/>
              </w:rPr>
            </w:pPr>
            <w:r>
              <w:rPr>
                <w:b/>
                <w:color w:val="000000"/>
              </w:rPr>
              <w:t>Entry into a Material Definitive Agreement.</w:t>
            </w:r>
          </w:p>
        </w:tc>
      </w:tr>
    </w:tbl>
    <w:p>
      <w:pPr>
        <w:pStyle w:val="TextBody"/>
        <w:bidi w:val="0"/>
        <w:spacing w:before="0" w:after="0"/>
        <w:jc w:val="left"/>
        <w:rPr>
          <w:b/>
          <w:i/>
        </w:rPr>
      </w:pPr>
      <w:r>
        <w:rPr>
          <w:b/>
          <w:i/>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Agreement and Plan of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July 15, 2026, AtaiBeckley Inc. (the “</w:t>
      </w:r>
      <w:r>
        <w:rPr>
          <w:rFonts w:ascii="Times New Roman" w:hAnsi="Times New Roman"/>
          <w:color w:val="000000"/>
          <w:sz w:val="20"/>
          <w:u w:val="single"/>
        </w:rPr>
        <w:t>Company</w:t>
      </w:r>
      <w:r>
        <w:rPr>
          <w:rFonts w:ascii="Times New Roman" w:hAnsi="Times New Roman"/>
          <w:color w:val="000000"/>
          <w:sz w:val="20"/>
        </w:rPr>
        <w:t>”), entered into an Agreement and Plan of Merger (the “</w:t>
      </w:r>
      <w:r>
        <w:rPr>
          <w:rFonts w:ascii="Times New Roman" w:hAnsi="Times New Roman"/>
          <w:color w:val="000000"/>
          <w:sz w:val="20"/>
          <w:u w:val="single"/>
        </w:rPr>
        <w:t>Merger Agreement</w:t>
      </w:r>
      <w:r>
        <w:rPr>
          <w:rFonts w:ascii="Times New Roman" w:hAnsi="Times New Roman"/>
          <w:color w:val="000000"/>
          <w:sz w:val="20"/>
        </w:rPr>
        <w:t>”) with Eli Lilly and Company, an Indiana corporation (“</w:t>
      </w:r>
      <w:r>
        <w:rPr>
          <w:rFonts w:ascii="Times New Roman" w:hAnsi="Times New Roman"/>
          <w:color w:val="000000"/>
          <w:sz w:val="20"/>
          <w:u w:val="single"/>
        </w:rPr>
        <w:t>Parent</w:t>
      </w:r>
      <w:r>
        <w:rPr>
          <w:rFonts w:ascii="Times New Roman" w:hAnsi="Times New Roman"/>
          <w:color w:val="000000"/>
          <w:sz w:val="20"/>
        </w:rPr>
        <w:t>”), and Albali Acquisition Corporation, a Delaware corporation and indirect wholly owned subsidiary of Parent (“</w:t>
      </w:r>
      <w:r>
        <w:rPr>
          <w:rFonts w:ascii="Times New Roman" w:hAnsi="Times New Roman"/>
          <w:color w:val="000000"/>
          <w:sz w:val="20"/>
          <w:u w:val="single"/>
        </w:rPr>
        <w:t>Merger Sub</w:t>
      </w:r>
      <w:r>
        <w:rPr>
          <w:rFonts w:ascii="Times New Roman" w:hAnsi="Times New Roman"/>
          <w:color w:val="000000"/>
          <w:sz w:val="20"/>
        </w:rPr>
        <w:t>”), pursuant to which, subject to satisfaction or waiver of the conditions therein, Merger Sub will merge with and into the Company (the “</w:t>
      </w:r>
      <w:r>
        <w:rPr>
          <w:rFonts w:ascii="Times New Roman" w:hAnsi="Times New Roman"/>
          <w:color w:val="000000"/>
          <w:sz w:val="20"/>
          <w:u w:val="single"/>
        </w:rPr>
        <w:t>Merger</w:t>
      </w:r>
      <w:r>
        <w:rPr>
          <w:rFonts w:ascii="Times New Roman" w:hAnsi="Times New Roman"/>
          <w:color w:val="000000"/>
          <w:sz w:val="20"/>
        </w:rPr>
        <w:t>”), with the Company surviving as a wholly owned subsidiary of Parent. The Merger Agreement has been unanimously approved by the Company’s board of directors (the “</w:t>
      </w:r>
      <w:r>
        <w:rPr>
          <w:rFonts w:ascii="Times New Roman" w:hAnsi="Times New Roman"/>
          <w:color w:val="000000"/>
          <w:sz w:val="20"/>
          <w:u w:val="single"/>
        </w:rPr>
        <w:t>Board</w:t>
      </w:r>
      <w:r>
        <w:rPr>
          <w:rFonts w:ascii="Times New Roman" w:hAnsi="Times New Roman"/>
          <w:color w:val="000000"/>
          <w:sz w:val="20"/>
        </w:rPr>
        <w:t>”).</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Pursuant to the Merger Agreement, and upon the terms and subject to the conditions thereof, at the effective time of the Merger (the “</w:t>
      </w:r>
      <w:r>
        <w:rPr>
          <w:rFonts w:ascii="Times New Roman" w:hAnsi="Times New Roman"/>
          <w:color w:val="000000"/>
          <w:sz w:val="20"/>
          <w:u w:val="single"/>
        </w:rPr>
        <w:t>Effective Time</w:t>
      </w:r>
      <w:r>
        <w:rPr>
          <w:rFonts w:ascii="Times New Roman" w:hAnsi="Times New Roman"/>
          <w:color w:val="000000"/>
          <w:sz w:val="20"/>
        </w:rPr>
        <w:t>”) each share of the Company’s common stock, par value $0.01 per share (the “</w:t>
      </w:r>
      <w:r>
        <w:rPr>
          <w:rFonts w:ascii="Times New Roman" w:hAnsi="Times New Roman"/>
          <w:color w:val="000000"/>
          <w:sz w:val="20"/>
          <w:u w:val="single"/>
        </w:rPr>
        <w:t>Common Stock</w:t>
      </w:r>
      <w:r>
        <w:rPr>
          <w:rFonts w:ascii="Times New Roman" w:hAnsi="Times New Roman"/>
          <w:color w:val="000000"/>
          <w:sz w:val="20"/>
        </w:rPr>
        <w:t>”), issued and outstanding immediately prior to the Effective Time (other than (x) shares held in the treasury of the Company, owned by the Company or any of its subsidiaries, or owned by Parent, Merger Sub or any of their wholly owned subsidiaries, and (y) Dissenting Shares (as defined in the Merger Agreement)) will be converted into the right to receive (i) $6.75 (the “</w:t>
      </w:r>
      <w:r>
        <w:rPr>
          <w:rFonts w:ascii="Times New Roman" w:hAnsi="Times New Roman"/>
          <w:color w:val="000000"/>
          <w:sz w:val="20"/>
          <w:u w:val="single"/>
        </w:rPr>
        <w:t>Closing Amount</w:t>
      </w:r>
      <w:r>
        <w:rPr>
          <w:rFonts w:ascii="Times New Roman" w:hAnsi="Times New Roman"/>
          <w:color w:val="000000"/>
          <w:sz w:val="20"/>
        </w:rPr>
        <w:t>”) per share in cash, without interest, plus (ii) one contingent value right per share (each, a “</w:t>
      </w:r>
      <w:r>
        <w:rPr>
          <w:rFonts w:ascii="Times New Roman" w:hAnsi="Times New Roman"/>
          <w:color w:val="000000"/>
          <w:sz w:val="20"/>
          <w:u w:val="single"/>
        </w:rPr>
        <w:t>CVR</w:t>
      </w:r>
      <w:r>
        <w:rPr>
          <w:rFonts w:ascii="Times New Roman" w:hAnsi="Times New Roman"/>
          <w:color w:val="000000"/>
          <w:sz w:val="20"/>
        </w:rPr>
        <w:t>” and collectively, the “</w:t>
      </w:r>
      <w:r>
        <w:rPr>
          <w:rFonts w:ascii="Times New Roman" w:hAnsi="Times New Roman"/>
          <w:color w:val="000000"/>
          <w:sz w:val="20"/>
          <w:u w:val="single"/>
        </w:rPr>
        <w:t>CVRs</w:t>
      </w:r>
      <w:r>
        <w:rPr>
          <w:rFonts w:ascii="Times New Roman" w:hAnsi="Times New Roman"/>
          <w:color w:val="000000"/>
          <w:sz w:val="20"/>
        </w:rPr>
        <w:t>”), representing the right to receive up to an aggregate of $2.50 in cash per CVR upon achievement, if any, of specified clinical and regulatory milestones, payable in accordance with the terms of a Contingent Value Rights Agreement (the “</w:t>
      </w:r>
      <w:r>
        <w:rPr>
          <w:rFonts w:ascii="Times New Roman" w:hAnsi="Times New Roman"/>
          <w:color w:val="000000"/>
          <w:sz w:val="20"/>
          <w:u w:val="single"/>
        </w:rPr>
        <w:t>CVR Agreement</w:t>
      </w:r>
      <w:r>
        <w:rPr>
          <w:rFonts w:ascii="Times New Roman" w:hAnsi="Times New Roman"/>
          <w:color w:val="000000"/>
          <w:sz w:val="20"/>
        </w:rPr>
        <w:t>”) to be entered into between Parent and a rights agent selected by Parent and reasonably acceptable to the Company (the foregoing clauses (i) and (ii), collectively, the “</w:t>
      </w:r>
      <w:r>
        <w:rPr>
          <w:rFonts w:ascii="Times New Roman" w:hAnsi="Times New Roman"/>
          <w:color w:val="000000"/>
          <w:sz w:val="20"/>
          <w:u w:val="single"/>
        </w:rPr>
        <w:t>Merger Consideration</w:t>
      </w:r>
      <w:r>
        <w:rPr>
          <w:rFonts w:ascii="Times New Roman" w:hAnsi="Times New Roman"/>
          <w:color w:val="000000"/>
          <w:sz w:val="20"/>
        </w:rPr>
        <w:t>”), less any applicable tax withholding. Each CVR will entitle its holder to the following cash payments conditioned on achievement within specific time periods: (1) up to $1.00 per share upon initiation of a Phase 3 clinical trial of VLS-01 prior to the 4th anniversary of the Closing (as defined in the Merger Agreement), (2) up to $0.50 per share upon U.S. regulatory approval and Drug Enforcement Agency (“</w:t>
      </w:r>
      <w:r>
        <w:rPr>
          <w:rFonts w:ascii="Times New Roman" w:hAnsi="Times New Roman"/>
          <w:color w:val="000000"/>
          <w:sz w:val="20"/>
          <w:u w:val="single"/>
        </w:rPr>
        <w:t>DEA</w:t>
      </w:r>
      <w:r>
        <w:rPr>
          <w:rFonts w:ascii="Times New Roman" w:hAnsi="Times New Roman"/>
          <w:color w:val="000000"/>
          <w:sz w:val="20"/>
        </w:rPr>
        <w:t>”) rescheduling of BPL-003 prior to the 5th anniversary of the Closing and (3) up to $1.00 per share upon U.S. regulatory approval and DEA rescheduling of VLS-01 prior to the 7th anniversary of the Closing.</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Contingent Value Rights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Merger, at or immediately prior to the Effective Time, Parent will execute and deliver the CVR Agreement with a rights agent. Under the CVR Agreement, each CVR will represent the contractual right to receive a contingent cash payment upon the achievement of certain specified milestones. The CVRs will not be transferable (except in limited circumstances), will not be registered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or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will not be listed on any securities exchange, and will not have any voting or dividend rights. The CVRs will not represent any equity or ownership interest in Parent, the Company, or the surviving corporation.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Treatment of Equity Awards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provides for the following treatment of the Company’s equity awards: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at the Effective Time, each option to purchase Common Stock granted under a Company equity incentive plan (each, a “</w:t>
            </w:r>
            <w:r>
              <w:rPr>
                <w:u w:val="single"/>
              </w:rPr>
              <w:t>Company Stock Option</w:t>
            </w:r>
            <w:r>
              <w:rPr/>
              <w:t>”) with a per share exercise price that is less than the Closing Amount that is outstanding immediately prior to the Effective Time, whether or not vested (each, a “</w:t>
            </w:r>
            <w:r>
              <w:rPr>
                <w:u w:val="single"/>
              </w:rPr>
              <w:t>Company Cash-Out Stock Option</w:t>
            </w:r>
            <w:r>
              <w:rPr/>
              <w:t>”), will be cancelled, and, in exchange therefor, the holder of such Company Cash-Out Stock Option will be entitled to receive (A) an amount in cash (without interest and less applicable tax withholdings) equal to the product of (1) the total number of shares subject to such Company Cash-Out Stock Option immediately prior to the Effective Time (for Company Cash-Out Stock Options subject to performance-based vesting, assuming applicable performance goals are achieved in full) multiplied by (2) the excess of the Closing Amount over the applicable exercise price per share under such Company Cash-Out Stock Option and (B) one CVR for each share subject to such Company Cash-Out Stock Option immediately prior to the Effective Time (without regard to vesting);</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at the Effective Time, each Company Stock Option having an exercise price equal to or greater than the Closing Amount that is outstanding immediately prior to the Effective Time, whether or not vested, will be cancelled for no consideration;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at the Effective Time, each restricted stock unit granted under a Company equity incentive plan (“</w:t>
            </w:r>
            <w:r>
              <w:rPr>
                <w:u w:val="single"/>
              </w:rPr>
              <w:t>Company RSU</w:t>
            </w:r>
            <w:r>
              <w:rPr/>
              <w:t>”) that is outstanding, and unvested, or vested but not yet settled, in each case immediately prior to the Effective Time, will be cancelled, and, in exchange therefor, the holder of such Company RSU will be entitled to receive (A) an amount in cash (without interest and less applicable tax withholdings) equal to the product of (1) the total number of shares subject to such Company RSU immediately prior to the Effective Time multiplied by (2) the Closing Amount and (B) one CVR for each share of Common Stock subject to such Company RSU immediately prior to the Effective Time (without regard to vesting);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each Company equity incentive plan and award agreement thereunder shall be terminated effective as of the Effective Time.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each pre-funded warrant to purchase shares of Common Stock (each, a “</w:t>
      </w:r>
      <w:r>
        <w:rPr>
          <w:rFonts w:ascii="Times New Roman" w:hAnsi="Times New Roman"/>
          <w:color w:val="000000"/>
          <w:sz w:val="20"/>
          <w:u w:val="single"/>
        </w:rPr>
        <w:t>Pre-Funded Warrant</w:t>
      </w:r>
      <w:r>
        <w:rPr>
          <w:rFonts w:ascii="Times New Roman" w:hAnsi="Times New Roman"/>
          <w:color w:val="000000"/>
          <w:sz w:val="20"/>
        </w:rPr>
        <w:t>”) outstanding immediately prior to the Effective Time will remain outstanding following the Effective Time and will be exercisable into the same consideration as the holder thereof would have been entitled to receive if it had been, immediately prior to the Effective Time, the holder of the number of shares of Common Stock then issuable upon exercise in full of the Pre-Funded Warrant.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obligation of each party to effect the Merger is subject to the satisfaction or waiver of certain conditions, including (i) the adoption of the Merger Agreement by the holders of at least a majority of the outstanding shares of Common Stock (the “</w:t>
      </w:r>
      <w:r>
        <w:rPr>
          <w:rFonts w:ascii="Times New Roman" w:hAnsi="Times New Roman"/>
          <w:color w:val="000000"/>
          <w:sz w:val="20"/>
          <w:u w:val="single"/>
        </w:rPr>
        <w:t>Company Stockholder Approval</w:t>
      </w:r>
      <w:r>
        <w:rPr>
          <w:rFonts w:ascii="Times New Roman" w:hAnsi="Times New Roman"/>
          <w:color w:val="000000"/>
          <w:sz w:val="20"/>
        </w:rPr>
        <w:t>”), (ii) (A) the expiration or termination of the waiting period applicable to the Merger under the Hart-Scott-Rodino Antitrust Improvements Act of 1976, as amended, (B) the receipt of any other required approvals or clearances under applicable antitrust laws and (C) any agreement with certain specified governmental bodies not to consummate or to delay consummation of the transactions contemplated by the Merger Agreement shall have expired or been terminated, and (iii) the absence of any law or governmental order preventing, prohibiting or making illegal the consummation of the Merger. In addition, the obligation of Parent and Merger Sub to effect the Merger is subject to the satisfaction or waiver of additional conditions, including (i) the accuracy of the Company’s representations and warranties in the Merger Agreement (subject to specified materiality qualifiers), (ii) the Company’s compliance in all material respects with its covenants and agreements under the Merger Agreement, (iii) no Company Material Adverse Effect (as defined in the Merger Agreement) having occurred since the date of the Merger Agreement that is continuing and (iv) the absence of any pending suit, action or proceeding by a governmental body seeking to make illegal, terminate or otherwise materially alter or impair the consummation of the Merger. The obligation of the Company to effect the Merger is subject to the satisfaction or waiver of additional conditions, including the accuracy of Parent’s and Merger Sub’s representations and warranties in the Merger Agreement (subject to specified materiality qualifiers) and Parent’s and Merger Sub’s compliance in all material respects with their covenants and agreements under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includes customary representations, warranties and covenants of the Company, Parent and Merger Sub, including customary covenants regarding the operation of the business of the Company and its subsidiaries prior to the Effective Time.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provides that the Company and its representatives will be subject to customary “no-shop” restrictions prohibiting the Company from soliciting alternative proposals from, providing confidential information to, or engaging in negotiations with, third parties regarding alternative acquisition proposals. Prior to the Effective Time, the “no-shop” provision is subject to customary exceptions that allow the Company, under certain circumstances, to provide information to, and participate in discussions and engage in negotiations with, third parties with respect to an unsolicited alternative acquisition proposal that the Board has determined constitutes, or would reasonably be expected to lead to or result in, a superior proposal (a “</w:t>
      </w:r>
      <w:r>
        <w:rPr>
          <w:rFonts w:ascii="Times New Roman" w:hAnsi="Times New Roman"/>
          <w:color w:val="000000"/>
          <w:sz w:val="20"/>
          <w:u w:val="single"/>
        </w:rPr>
        <w:t>Superior Proposal</w:t>
      </w:r>
      <w:r>
        <w:rPr>
          <w:rFonts w:ascii="Times New Roman" w:hAnsi="Times New Roman"/>
          <w:color w:val="000000"/>
          <w:sz w:val="20"/>
        </w:rPr>
        <w:t>”). In certain circumstances, and following compliance with Parent’s “match” rights (including a four (4) business day notice period), the Company is permitted to terminate the Merger Agreement to enter into a transaction for a Superior Proposal. In addition, in certain circumstances, the Board may change its recommendation that the holders of shares adopt the Merger Agreement (a “</w:t>
      </w:r>
      <w:r>
        <w:rPr>
          <w:rFonts w:ascii="Times New Roman" w:hAnsi="Times New Roman"/>
          <w:color w:val="000000"/>
          <w:sz w:val="20"/>
          <w:u w:val="single"/>
        </w:rPr>
        <w:t>Change of Board Recommendation</w:t>
      </w:r>
      <w:r>
        <w:rPr>
          <w:rFonts w:ascii="Times New Roman" w:hAnsi="Times New Roman"/>
          <w:color w:val="000000"/>
          <w:sz w:val="20"/>
        </w:rPr>
        <w:t>”) if it determines in good faith, after consultation with outside legal counsel, that the failure to do so in response to a Superior Proposal or an Intervening Event (each as defined in the Merger Agreement) would reasonably be expected to be inconsistent with the Board’s fiduciary duties under applicable law.</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Either the Company or Parent may, subject to certain exceptions, terminate the Merger Agreement (1) upon the mutual consent of the Company and the Parent, (2) if the Effective Time has not occurred on or prior to the date that is six (6) months after the date of the Merger Agreement (the “</w:t>
      </w:r>
      <w:r>
        <w:rPr>
          <w:rFonts w:ascii="Times New Roman" w:hAnsi="Times New Roman"/>
          <w:color w:val="000000"/>
          <w:sz w:val="20"/>
          <w:u w:val="single"/>
        </w:rPr>
        <w:t>Outside Date</w:t>
      </w:r>
      <w:r>
        <w:rPr>
          <w:rFonts w:ascii="Times New Roman" w:hAnsi="Times New Roman"/>
          <w:color w:val="000000"/>
          <w:sz w:val="20"/>
        </w:rPr>
        <w:t>”), which date will automatically extend to nine (9) months, if certain regulatory conditions under applicable antitrust and foreign direct investment laws remain unsatisfied, (3) if a governmental body of competent jurisdiction has issued a final and non-appealable governmental order, or enacted a law, permanently restraining, enjoining or otherwise prohibiting the Merger, or (4) if the Company Stockholder Approval is not obtained at a duly convened meeting of the Company’s stockholders at which a vote was taken in respect of the Merger Agreement and the Merger. The Company may terminate the Merger Agreement in certain additional limited circumstances, including (a) if Parent or Merger Sub breaches the Merger Agreement (subject to a cure right) in a manner that would give rise to a Parent Material Adverse Effect, or (b) prior to the receipt of the Company Stockholder Approval, to enter into an alternative acquisition agreement with respect to a Superior Proposal, subject to payment of the termination fee. Parent may terminate the Merger Agreement in certain additional limited circumstances, including if (i) the Company has breached its representations, warranties or covenants (subject to a cure right) in a manner that would give rise to the failure of a closing condition, or (ii) prior to the receipt of the Company Stockholder Approval, the Board effects a Change of Board Recommendation.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Upon termination of the Merger Agreement under specified circumstances, the Company will be required to pay Parent a termination fee of $104,300,000. Specifically, this termination fee is payable by the Company to Parent if the Merger Agreement is terminated by (1) the Company in order to enter into an alternative acquisition agreement with respect to a Superior Proposal; or (2) Parent following a Change of Board Recommendation. The termination fee will also be payable if (1) the Merger Agreement is terminated by either party due to the Effective Time not having occurred on or prior to the Outside Date or by Parent due to a material breach by the Company; (2) prior to such termination (but after the date of the Merger Agreement) any Person has communicated to the Board or publicly announced an Acquisition Proposal (which has not been irrevocably and publicly withdrawn); and (3) within twelve (12) months after such termination, the Company enters into an alternative acquisition agreement with respect to an Acquisition Proposal or an Acquisition Proposal is consummated (with the 20% threshold in the definition of Acquisition Proposal increased to more than 50% of the Company’s stock or assets for purposes of this tail provision).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provides that Company, on one hand, or Parent and Merger Sub, on the other hand, may specifically enforce the obligations under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foregoing summary of the principal terms of the Merger Agreement does not purport to be complete and is qualified in its entirety by reference to the full copy of the Merger Agreement, which is filed as Exhibit 2.1 hereto and is incorporated herein by reference. The summary and the copy of the Merger Agreement are intended to provide information regarding the terms of the Merger Agreement and are not intended to modify or supplement any factual disclosures about the Company in its public reports filed with the Securities and Exchange Commission (the “</w:t>
      </w:r>
      <w:r>
        <w:rPr>
          <w:rFonts w:ascii="Times New Roman" w:hAnsi="Times New Roman"/>
          <w:color w:val="000000"/>
          <w:sz w:val="20"/>
          <w:u w:val="single"/>
        </w:rPr>
        <w:t>SEC</w:t>
      </w:r>
      <w:r>
        <w:rPr>
          <w:rFonts w:ascii="Times New Roman" w:hAnsi="Times New Roman"/>
          <w:color w:val="000000"/>
          <w:sz w:val="20"/>
        </w:rPr>
        <w:t>”). The assertions embodied in the representations and warranties included in the Merger Agreement were made solely for purposes of the contract among the Company, Merger Sub and Parent and are subject to important qualifications and limitations agreed to by the Company, Merger Sub and Parent in connection with the negotiated terms, including being qualified by confidential disclosures made for the purposes of allocating contractual risk between the parties. Moreover, some of those representations and warranties were made as of a specified date, may be subject to a contractual standard of materiality different from those generally applicable to the Company’s SEC filings or may have been used for purposes of allocating risk among the Company, Merger Sub and Parent rather than establishing matters as facts. Investors should not rely on the representations and warranties or any description of them as characterizations of the actual state of facts of the Company, Parent, Merger Sub or any of their respective subsidiaries or affiliates. Moreover, information concerning the subject matter of the representations and warranties may change after the date of the Merger Agreement, and this subsequent information may or may not be fully reflected in public disclosures by the Company or Parent.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Voting and Support Agreements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July 15, 2026, in connection with the execution and delivery of the Merger Agreement, Parent entered into separate voting and support agreements (collectively, the “</w:t>
      </w:r>
      <w:r>
        <w:rPr>
          <w:rFonts w:ascii="Times New Roman" w:hAnsi="Times New Roman"/>
          <w:color w:val="000000"/>
          <w:sz w:val="20"/>
          <w:u w:val="single"/>
        </w:rPr>
        <w:t>Support Agreements</w:t>
      </w:r>
      <w:r>
        <w:rPr>
          <w:rFonts w:ascii="Times New Roman" w:hAnsi="Times New Roman"/>
          <w:color w:val="000000"/>
          <w:sz w:val="20"/>
        </w:rPr>
        <w:t>”) with (1) each of the Company’s directors and executive officers (the “</w:t>
      </w:r>
      <w:r>
        <w:rPr>
          <w:rFonts w:ascii="Times New Roman" w:hAnsi="Times New Roman"/>
          <w:color w:val="000000"/>
          <w:sz w:val="20"/>
          <w:u w:val="single"/>
        </w:rPr>
        <w:t>D&amp;O Signatories</w:t>
      </w:r>
      <w:r>
        <w:rPr>
          <w:rFonts w:ascii="Times New Roman" w:hAnsi="Times New Roman"/>
          <w:color w:val="000000"/>
          <w:sz w:val="20"/>
        </w:rPr>
        <w:t>”) and (2) Apeiron Investment Group, Ltd. (together with the D&amp;O Signatories, the “</w:t>
      </w:r>
      <w:r>
        <w:rPr>
          <w:rFonts w:ascii="Times New Roman" w:hAnsi="Times New Roman"/>
          <w:color w:val="000000"/>
          <w:sz w:val="20"/>
          <w:u w:val="single"/>
        </w:rPr>
        <w:t>Voting Agreement Signatories</w:t>
      </w:r>
      <w:r>
        <w:rPr>
          <w:rFonts w:ascii="Times New Roman" w:hAnsi="Times New Roman"/>
          <w:color w:val="000000"/>
          <w:sz w:val="20"/>
        </w:rPr>
        <w:t>”). The Support Agreements provide that, among other things, each of the Voting Agreement Signatories has agreed (i) to vote all of the shares of Common Stock held by such stockholder in favor of the adoption of the Merger Agreement, subject to certain exceptions (including the valid termination of the Merger Agreement), (ii) not to transfer such shares of Common Stock subject to certain exceptions, and (iii) to certain other restrictions on its ability to take actions with respect to the Company and its shares of Common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foregoing description of the Support Agreements is qualified in all respects by reference to the form of Support Agreement, which is attached as Exhibit 10.1 hereto and incorporated by reference herein. The form of Support Agreement has been included to provide information regarding its terms. It is not intended to modify or supplement any factual disclosures about the Voting Agreement Signatories or the Company in any public reports filed with the SEC by the Company. The assertions embodied in the representations and warranties contained in the Support Agreements were made solely for purposes of the Support Agreements and are subject to important qualifications and limitations agreed to by the parties thereto in connection with the negotiated terms. Moreover, some of those representations and warranties were made as of a specified date, may be subject to a contractual standard of materiality different from those generally applicable to stockholders’ or the Company’s SEC filings or may have been used for purposes of allocating risk among the parties thereto rather than establishing matters as facts. Investors should not rely on the representations and warranties or any description of them as characterizations of the actual state of facts of the Voting Agreement Signatories, the Company, Parent or any of their respective subsidiaries or affiliates. Moreover, information concerning the subject matter of the representations and warranties may change after the date of the Support Agreements, and this subsequent information may or may not be fully reflected in public disclosures by the Company or Parent.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tbl>
      <w:tblPr>
        <w:tblW w:w="3730" w:type="dxa"/>
        <w:jc w:val="left"/>
        <w:tblInd w:w="0" w:type="dxa"/>
        <w:tblLayout w:type="fixed"/>
        <w:tblCellMar>
          <w:top w:w="0" w:type="dxa"/>
          <w:left w:w="0" w:type="dxa"/>
          <w:bottom w:w="0" w:type="dxa"/>
          <w:right w:w="0" w:type="dxa"/>
        </w:tblCellMar>
      </w:tblPr>
      <w:tblGrid>
        <w:gridCol w:w="1025"/>
        <w:gridCol w:w="2705"/>
      </w:tblGrid>
      <w:tr>
        <w:trPr/>
        <w:tc>
          <w:tcPr>
            <w:tcW w:w="1025" w:type="dxa"/>
            <w:tcBorders/>
            <w:vAlign w:val="center"/>
          </w:tcPr>
          <w:p>
            <w:pPr>
              <w:pStyle w:val="TableContents"/>
              <w:bidi w:val="0"/>
              <w:spacing w:before="0" w:after="283"/>
              <w:jc w:val="left"/>
              <w:rPr>
                <w:b/>
                <w:color w:val="000000"/>
              </w:rPr>
            </w:pPr>
            <w:r>
              <w:rPr>
                <w:b/>
                <w:color w:val="000000"/>
              </w:rPr>
              <w:t>Item 7.01.</w:t>
            </w:r>
          </w:p>
        </w:tc>
        <w:tc>
          <w:tcPr>
            <w:tcW w:w="2705" w:type="dxa"/>
            <w:tcBorders/>
            <w:vAlign w:val="center"/>
          </w:tcPr>
          <w:p>
            <w:pPr>
              <w:pStyle w:val="TableContents"/>
              <w:bidi w:val="0"/>
              <w:spacing w:before="0" w:after="0"/>
              <w:jc w:val="left"/>
              <w:rPr>
                <w:b/>
                <w:color w:val="000000"/>
              </w:rPr>
            </w:pPr>
            <w:r>
              <w:rPr>
                <w:b/>
                <w:color w:val="000000"/>
              </w:rPr>
              <w:t>Regulation FD Disclosure.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July 16, 2026, Parent and the Company issued a joint press release announcing the execution of the Merger Agreement. A copy of the press release is attached hereto as Exhibit 99.1 and incorporated herein by reference in its entirety.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furnished under this Item 7.01, including Exhibit 99.1, shall not be deemed “filed” for the purposes of Section 18 of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tbl>
      <w:tblPr>
        <w:tblW w:w="4525" w:type="dxa"/>
        <w:jc w:val="left"/>
        <w:tblInd w:w="0" w:type="dxa"/>
        <w:tblLayout w:type="fixed"/>
        <w:tblCellMar>
          <w:top w:w="0" w:type="dxa"/>
          <w:left w:w="0" w:type="dxa"/>
          <w:bottom w:w="0" w:type="dxa"/>
          <w:right w:w="0" w:type="dxa"/>
        </w:tblCellMar>
      </w:tblPr>
      <w:tblGrid>
        <w:gridCol w:w="965"/>
        <w:gridCol w:w="3560"/>
      </w:tblGrid>
      <w:tr>
        <w:trPr/>
        <w:tc>
          <w:tcPr>
            <w:tcW w:w="965"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0"/>
              <w:jc w:val="left"/>
              <w:rPr>
                <w:b/>
                <w:color w:val="000000"/>
              </w:rPr>
            </w:pPr>
            <w:r>
              <w:rPr>
                <w:b/>
                <w:color w:val="000000"/>
              </w:rPr>
              <w:t>Financial Statements and Exhibits.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 Exhibits.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130"/>
        <w:gridCol w:w="60"/>
        <w:gridCol w:w="9015"/>
      </w:tblGrid>
      <w:tr>
        <w:trPr/>
        <w:tc>
          <w:tcPr>
            <w:tcW w:w="1130" w:type="dxa"/>
            <w:tcBorders>
              <w:bottom w:val="single" w:sz="12" w:space="0" w:color="000000"/>
            </w:tcBorders>
            <w:vAlign w:val="center"/>
          </w:tcPr>
          <w:p>
            <w:pPr>
              <w:pStyle w:val="TableContents"/>
              <w:bidi w:val="0"/>
              <w:spacing w:before="0" w:after="0"/>
              <w:jc w:val="center"/>
              <w:rPr>
                <w:color w:val="000000"/>
              </w:rPr>
            </w:pPr>
            <w:r>
              <w:rPr>
                <w:color w:val="000000"/>
              </w:rPr>
              <w:t>Exhibit No.</w:t>
            </w:r>
          </w:p>
        </w:tc>
        <w:tc>
          <w:tcPr>
            <w:tcW w:w="60" w:type="dxa"/>
            <w:tcBorders/>
            <w:tcMar>
              <w:bottom w:w="0" w:type="dxa"/>
            </w:tcMar>
            <w:vAlign w:val="center"/>
          </w:tcPr>
          <w:p>
            <w:pPr>
              <w:pStyle w:val="TableContents"/>
              <w:bidi w:val="0"/>
              <w:spacing w:before="0" w:after="283"/>
              <w:jc w:val="left"/>
              <w:rPr/>
            </w:pPr>
            <w:r>
              <w:rPr/>
              <w:t> </w:t>
            </w:r>
          </w:p>
        </w:tc>
        <w:tc>
          <w:tcPr>
            <w:tcW w:w="9015" w:type="dxa"/>
            <w:tcBorders>
              <w:bottom w:val="single" w:sz="12" w:space="0" w:color="000000"/>
            </w:tcBorders>
            <w:vAlign w:val="center"/>
          </w:tcPr>
          <w:p>
            <w:pPr>
              <w:pStyle w:val="TableContents"/>
              <w:bidi w:val="0"/>
              <w:spacing w:before="0" w:after="0"/>
              <w:jc w:val="center"/>
              <w:rPr>
                <w:color w:val="000000"/>
              </w:rPr>
            </w:pPr>
            <w:r>
              <w:rPr>
                <w:color w:val="000000"/>
              </w:rPr>
              <w:t>Description</w:t>
            </w:r>
          </w:p>
        </w:tc>
      </w:tr>
      <w:tr>
        <w:trPr/>
        <w:tc>
          <w:tcPr>
            <w:tcW w:w="1130" w:type="dxa"/>
            <w:tcBorders/>
            <w:tcMar>
              <w:bottom w:w="0" w:type="dxa"/>
            </w:tcMar>
            <w:vAlign w:val="center"/>
          </w:tcPr>
          <w:p>
            <w:pPr>
              <w:pStyle w:val="TableContents"/>
              <w:bidi w:val="0"/>
              <w:spacing w:before="0" w:after="283"/>
              <w:jc w:val="left"/>
              <w:rPr/>
            </w:pPr>
            <w:r>
              <w:rPr/>
              <w:t> </w:t>
            </w:r>
          </w:p>
        </w:tc>
        <w:tc>
          <w:tcPr>
            <w:tcW w:w="9075" w:type="dxa"/>
            <w:gridSpan w:val="2"/>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0"/>
              <w:jc w:val="left"/>
              <w:rPr/>
            </w:pPr>
            <w:hyperlink w:anchor="Exhibit2.1">
              <w:r>
                <w:rPr>
                  <w:rStyle w:val="InternetLink"/>
                </w:rPr>
                <w:t>2.1*§</w:t>
              </w:r>
            </w:hyperlink>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0"/>
              <w:jc w:val="left"/>
              <w:rPr>
                <w:color w:val="000000"/>
              </w:rPr>
            </w:pPr>
            <w:r>
              <w:rPr>
                <w:color w:val="000000"/>
              </w:rPr>
              <w:t>Agreement and Plan of Merger, dated as of July 15, 2026, by and among Eli Lilly and Company, Albali Acquisition Corporation and AtaiBeckley Inc.</w:t>
            </w:r>
          </w:p>
        </w:tc>
      </w:tr>
      <w:tr>
        <w:trPr/>
        <w:tc>
          <w:tcPr>
            <w:tcW w:w="1130" w:type="dxa"/>
            <w:tcBorders/>
            <w:tcMar>
              <w:bottom w:w="0" w:type="dxa"/>
            </w:tcMar>
            <w:vAlign w:val="center"/>
          </w:tcPr>
          <w:p>
            <w:pPr>
              <w:pStyle w:val="TableContents"/>
              <w:bidi w:val="0"/>
              <w:spacing w:before="0" w:after="283"/>
              <w:jc w:val="left"/>
              <w:rPr/>
            </w:pPr>
            <w:r>
              <w:rPr/>
              <w:t> </w:t>
            </w:r>
          </w:p>
        </w:tc>
        <w:tc>
          <w:tcPr>
            <w:tcW w:w="9075" w:type="dxa"/>
            <w:gridSpan w:val="2"/>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0"/>
              <w:jc w:val="left"/>
              <w:rPr/>
            </w:pPr>
            <w:hyperlink w:anchor="Exhibit10.1">
              <w:r>
                <w:rPr>
                  <w:rStyle w:val="InternetLink"/>
                  <w:color w:val="000000"/>
                </w:rPr>
                <w:t>10.1</w:t>
              </w:r>
            </w:hyperlink>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0"/>
              <w:jc w:val="left"/>
              <w:rPr>
                <w:color w:val="000000"/>
              </w:rPr>
            </w:pPr>
            <w:r>
              <w:rPr>
                <w:color w:val="000000"/>
              </w:rPr>
              <w:t>Form of Voting and Support Agreement.</w:t>
            </w:r>
          </w:p>
        </w:tc>
      </w:tr>
      <w:tr>
        <w:trPr/>
        <w:tc>
          <w:tcPr>
            <w:tcW w:w="1130" w:type="dxa"/>
            <w:tcBorders/>
            <w:tcMar>
              <w:bottom w:w="0" w:type="dxa"/>
            </w:tcMar>
            <w:vAlign w:val="center"/>
          </w:tcPr>
          <w:p>
            <w:pPr>
              <w:pStyle w:val="TableContents"/>
              <w:bidi w:val="0"/>
              <w:spacing w:before="0" w:after="283"/>
              <w:jc w:val="left"/>
              <w:rPr/>
            </w:pPr>
            <w:r>
              <w:rPr/>
              <w:t> </w:t>
            </w:r>
          </w:p>
        </w:tc>
        <w:tc>
          <w:tcPr>
            <w:tcW w:w="9075" w:type="dxa"/>
            <w:gridSpan w:val="2"/>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0"/>
              <w:jc w:val="left"/>
              <w:rPr/>
            </w:pPr>
            <w:hyperlink w:anchor="Exhibit99.1">
              <w:r>
                <w:rPr>
                  <w:rStyle w:val="InternetLink"/>
                  <w:color w:val="000000"/>
                </w:rPr>
                <w:t>99.1</w:t>
              </w:r>
            </w:hyperlink>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0"/>
              <w:jc w:val="left"/>
              <w:rPr>
                <w:color w:val="000000"/>
              </w:rPr>
            </w:pPr>
            <w:r>
              <w:rPr>
                <w:color w:val="000000"/>
              </w:rPr>
              <w:t>Joint Press Release of Eli Lilly and Company and AtaiBeckley Inc., dated July 16, 2026.</w:t>
            </w:r>
          </w:p>
        </w:tc>
      </w:tr>
      <w:tr>
        <w:trPr/>
        <w:tc>
          <w:tcPr>
            <w:tcW w:w="1130" w:type="dxa"/>
            <w:tcBorders/>
            <w:tcMar>
              <w:bottom w:w="0" w:type="dxa"/>
            </w:tcMar>
            <w:vAlign w:val="center"/>
          </w:tcPr>
          <w:p>
            <w:pPr>
              <w:pStyle w:val="TableContents"/>
              <w:bidi w:val="0"/>
              <w:spacing w:before="0" w:after="283"/>
              <w:jc w:val="left"/>
              <w:rPr/>
            </w:pPr>
            <w:r>
              <w:rPr/>
              <w:t> </w:t>
            </w:r>
          </w:p>
        </w:tc>
        <w:tc>
          <w:tcPr>
            <w:tcW w:w="9075" w:type="dxa"/>
            <w:gridSpan w:val="2"/>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0"/>
              <w:jc w:val="left"/>
              <w:rPr>
                <w:color w:val="000000"/>
              </w:rPr>
            </w:pPr>
            <w:r>
              <w:rPr>
                <w:color w:val="000000"/>
              </w:rPr>
              <w:t>104</w:t>
            </w:r>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Schedules omitted pursuant to Item 601(a)(5) of Regulation S-K. The Company agrees to furnish supplementally a copy of any omitted schedule to the SEC upon request.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portions of this exhibit (indicated by “[***]”) have been redacted pursuant to Regulation S-K, Item 601(a)(6).</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Additional Information about the Acquisition and Where to Find It</w:t>
      </w:r>
    </w:p>
    <w:p>
      <w:pPr>
        <w:pStyle w:val="TextBody"/>
        <w:bidi w:val="0"/>
        <w:spacing w:before="0" w:after="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The Company plans to file a proxy statement (the “</w:t>
      </w:r>
      <w:r>
        <w:rPr>
          <w:rFonts w:ascii="Times New Roman" w:hAnsi="Times New Roman"/>
          <w:color w:val="000000"/>
          <w:sz w:val="20"/>
          <w:u w:val="single"/>
        </w:rPr>
        <w:t>Proxy Statement</w:t>
      </w:r>
      <w:r>
        <w:rPr>
          <w:rFonts w:ascii="Times New Roman" w:hAnsi="Times New Roman"/>
          <w:color w:val="000000"/>
          <w:sz w:val="20"/>
        </w:rPr>
        <w:t>”) with the SEC in connection with the solicitation of proxies to approve the Merger Agreement relating to the Merger. Promptly after filing the definitive Proxy Statement with the SEC, the Company will mail the definitive Proxy Statement and a proxy card to each stockholder entitled to vote at the special meeting to consider the adoption of the Merger Agreement. Stockholders are urged to read the proxy statement (including any amendments or supplements thereto) and any other relevant documents that the Company will file with the SEC when they become available because they will contain important information. Stockholders may obtain, free of charge, the preliminary and definitive versions of the Proxy Statement, any amendments or supplements thereto, and any other relevant documents filed by the Company with the SEC in connection with the Merger at the SEC’s website (http://www.sec.gov). Copies of the Company’s definitive Proxy Statement, any amendments or supplements thereto, and any other relevant documents filed by the Company with the SEC in connection with the Merger will also be available, free of charge, at the Company’s investor relations website (https://ir.ataibeckley.com), or by writing to AtaiBeckley Inc., Attention: Investor Relations, 250 West 34th Street, New York, NY 10119.</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SEC rules, the Company and certain of its directors, executive officers and other members of management and employees may be deemed to be participants in the solicitation of proxies from stockholders in connection with the Merger. Information about the directors and executive officers of the Company and their ownership of the Company’s common stock is set forth in the definitive proxy statement for the Company’s 2026 Annual Meeting of Stockholders (the “2026 Proxy Statement”), which was filed with the SEC on April 22, 2026, including the sections captioned “Director Compensation,” “Executive Employment Agreements” and “Security Ownership of Certain Beneficial Owners and Management,” or its Annual Report on Form 10-K for the year ended December 31, 2025, which was filed with the SEC on March 6, 2026, and in other documents filed by the Company with the SEC. To the extent holdings of such participants in the Company’s securities have changed since the amounts described in the 2026 Proxy Statement, such changes have been reflected on Forms 3 or Forms 4 filed with the SEC by the Company’s directors and executive officers. These documents can be obtained free of charge from the sources indicated below. Additional information regarding the participants in the proxy solicitation and a description of their direct and indirect interests, by security holdings or otherwise, will be contained in the Proxy Statement and other relevant materials to be filed with the SEC in respect of the Merger when they become available.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Cautionary Statement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forward-looking statements that involve substantial risks and uncertainties, including statements regarding: the Merger; the prospective benefits of the Merger; the parties’ ability to satisfy the conditions to the consummation of the Merger and the expected timetable for the Merger; the anticipated occurrence, manner and timing of the closing of the Merger; potential milestone payment amounts and terms pursuant to the CVRs; the Company’s product candidates and ongoing clinical and preclinical development; Parent’s development of programs targeting treatment-resistant depression and mental health conditions; and the accounting treatment of the potential acquisition under GAAP and its potential impact on Parent’s financial results and financial guidance.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 These risks and uncertainties include, but are not limited to: the possibility that the Company’s shareholders may not approve the adoption of the Merger Agreement; the Company’s receipt of any competing offers or acquisition proposals; a failure to (or delay in) receiving the required regulatory clearances for the Merger; a condition to closing of the Merger may not be satisfied (or waived); the ability of each party to consummate the Merger; the closing of the Merger might be delayed or not occur at all; the diversion of management time and attention from ongoing business operations and opportunities; the response of competitors to the Merger; the effect of the Merger and the public announcement of the Merger on the Company’s operations and its relationships with its suppliers, business partners, management and employees, including its ability to attract and retain key personnel; Parent’s ability to successfully integrate the Company and execute on the continued development of the Company’s programs following the Closing; that all or any of the potential milestone payments pursuant to the CVRs will become payable on the terms described herein or at all; the outcome of any legal proceedings that could be instituted against the parties to the Merger; the risks inherent in drug research, development and commercialization; disruption in the Company’s plans and operations attributable to the Merger; changes in the Company’s business during the period between announcement and closing of the Merger; Parent’s evaluation of the accounting treatment of the potential acquisition and its potential impact on its financial results and financial guidance; the effects of the Merger (or the announcement thereof) on the Company’s stock price;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Parent’s and the Company’s periodic reports filed with the SEC. There can be no assurance that the Merger will in fact be consummated. All forward-looking statements in this communication are based on information available to Parent and the Company as of the date of this communication. Parent and the Company each expressly disclaim any obligation to publicly update or revise the forward-looking statements, except as required by law.</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650" w:type="dxa"/>
        <w:jc w:val="left"/>
        <w:tblInd w:w="0" w:type="dxa"/>
        <w:tblLayout w:type="fixed"/>
        <w:tblCellMar>
          <w:top w:w="0" w:type="dxa"/>
          <w:left w:w="0" w:type="dxa"/>
          <w:bottom w:w="0" w:type="dxa"/>
          <w:right w:w="0" w:type="dxa"/>
        </w:tblCellMar>
      </w:tblPr>
      <w:tblGrid>
        <w:gridCol w:w="1880"/>
        <w:gridCol w:w="365"/>
        <w:gridCol w:w="2405"/>
      </w:tblGrid>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b/>
                <w:color w:val="000000"/>
              </w:rPr>
            </w:pPr>
            <w:r>
              <w:rPr>
                <w:b/>
                <w:color w:val="000000"/>
              </w:rPr>
              <w:t>ATAIBECKLEY INC.</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color w:val="000000"/>
              </w:rPr>
            </w:pPr>
            <w:r>
              <w:rPr>
                <w:color w:val="000000"/>
              </w:rPr>
              <w:t>Date: July 16, 2026</w:t>
            </w:r>
          </w:p>
        </w:tc>
        <w:tc>
          <w:tcPr>
            <w:tcW w:w="365" w:type="dxa"/>
            <w:tcBorders/>
            <w:vAlign w:val="center"/>
          </w:tcPr>
          <w:p>
            <w:pPr>
              <w:pStyle w:val="TableContents"/>
              <w:bidi w:val="0"/>
              <w:spacing w:before="0" w:after="0"/>
              <w:jc w:val="left"/>
              <w:rPr>
                <w:color w:val="000000"/>
              </w:rPr>
            </w:pPr>
            <w:r>
              <w:rPr>
                <w:color w:val="000000"/>
              </w:rPr>
              <w:t>By:</w:t>
            </w:r>
          </w:p>
        </w:tc>
        <w:tc>
          <w:tcPr>
            <w:tcW w:w="240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Srinivas Rao</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color w:val="000000"/>
              </w:rPr>
            </w:pPr>
            <w:r>
              <w:rPr>
                <w:color w:val="000000"/>
              </w:rPr>
              <w:t>Srinivas Rao</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color w:val="000000"/>
              </w:rPr>
            </w:pPr>
            <w:r>
              <w:rPr>
                <w:color w:val="00000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4" w:name="Exhibit2.1"/>
      <w:bookmarkEnd w:id="4"/>
      <w:r>
        <w:rPr>
          <w:rFonts w:ascii="Times New Roman" w:hAnsi="Times New Roman"/>
          <w:b/>
          <w:color w:val="000000"/>
          <w:sz w:val="20"/>
        </w:rPr>
        <w:t>Exhibit 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 AND PLAN OF MERGER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among</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ELI LILLY AND COMPANY,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ALBALI ACQUISITION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ATAIBECKLEY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July 15, 2026</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88"/>
        <w:gridCol w:w="1629"/>
        <w:gridCol w:w="7972"/>
        <w:gridCol w:w="516"/>
      </w:tblGrid>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left"/>
              <w:rPr/>
            </w:pPr>
            <w:r>
              <w:rPr/>
              <w:t> </w:t>
            </w:r>
          </w:p>
        </w:tc>
        <w:tc>
          <w:tcPr>
            <w:tcW w:w="7972"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0"/>
              <w:jc w:val="right"/>
              <w:rPr>
                <w:b/>
              </w:rPr>
            </w:pPr>
            <w:r>
              <w:rPr>
                <w:b/>
              </w:rPr>
              <w:t>Page</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left"/>
              <w:rPr/>
            </w:pPr>
            <w:r>
              <w:rPr/>
              <w:t> </w:t>
            </w:r>
          </w:p>
        </w:tc>
        <w:tc>
          <w:tcPr>
            <w:tcW w:w="7972"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9689" w:type="dxa"/>
            <w:gridSpan w:val="3"/>
            <w:tcBorders/>
            <w:shd w:fill="CCEEFF" w:val="clear"/>
            <w:vAlign w:val="center"/>
          </w:tcPr>
          <w:p>
            <w:pPr>
              <w:pStyle w:val="TableContents"/>
              <w:bidi w:val="0"/>
              <w:spacing w:before="0" w:after="0"/>
              <w:jc w:val="left"/>
              <w:rPr/>
            </w:pPr>
            <w:r>
              <w:rPr/>
              <w:t>ARTICLE I THE MERGER</w:t>
            </w:r>
          </w:p>
        </w:tc>
        <w:tc>
          <w:tcPr>
            <w:tcW w:w="516" w:type="dxa"/>
            <w:tcBorders/>
            <w:shd w:fill="CCEEFF" w:val="clear"/>
            <w:vAlign w:val="center"/>
          </w:tcPr>
          <w:p>
            <w:pPr>
              <w:pStyle w:val="TableContents"/>
              <w:bidi w:val="0"/>
              <w:spacing w:before="0" w:after="0"/>
              <w:jc w:val="right"/>
              <w:rPr/>
            </w:pPr>
            <w:r>
              <w:rPr/>
              <w:t>2</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1.1.</w:t>
            </w:r>
          </w:p>
        </w:tc>
        <w:tc>
          <w:tcPr>
            <w:tcW w:w="7972" w:type="dxa"/>
            <w:tcBorders/>
            <w:shd w:fill="CCEEFF" w:val="clear"/>
            <w:vAlign w:val="center"/>
          </w:tcPr>
          <w:p>
            <w:pPr>
              <w:pStyle w:val="TableContents"/>
              <w:bidi w:val="0"/>
              <w:spacing w:before="0" w:after="0"/>
              <w:jc w:val="left"/>
              <w:rPr/>
            </w:pPr>
            <w:r>
              <w:rPr/>
              <w:t>The Merger</w:t>
            </w:r>
          </w:p>
        </w:tc>
        <w:tc>
          <w:tcPr>
            <w:tcW w:w="516" w:type="dxa"/>
            <w:tcBorders/>
            <w:shd w:fill="CCEEFF" w:val="clear"/>
            <w:vAlign w:val="center"/>
          </w:tcPr>
          <w:p>
            <w:pPr>
              <w:pStyle w:val="TableContents"/>
              <w:bidi w:val="0"/>
              <w:spacing w:before="0" w:after="0"/>
              <w:jc w:val="right"/>
              <w:rPr/>
            </w:pPr>
            <w:r>
              <w:rPr/>
              <w:t>2</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1.2.</w:t>
            </w:r>
          </w:p>
        </w:tc>
        <w:tc>
          <w:tcPr>
            <w:tcW w:w="7972" w:type="dxa"/>
            <w:tcBorders/>
            <w:vAlign w:val="center"/>
          </w:tcPr>
          <w:p>
            <w:pPr>
              <w:pStyle w:val="TableContents"/>
              <w:bidi w:val="0"/>
              <w:spacing w:before="0" w:after="0"/>
              <w:jc w:val="left"/>
              <w:rPr/>
            </w:pPr>
            <w:r>
              <w:rPr/>
              <w:t>Closing; Effective Time</w:t>
            </w:r>
          </w:p>
        </w:tc>
        <w:tc>
          <w:tcPr>
            <w:tcW w:w="516" w:type="dxa"/>
            <w:tcBorders/>
            <w:vAlign w:val="center"/>
          </w:tcPr>
          <w:p>
            <w:pPr>
              <w:pStyle w:val="TableContents"/>
              <w:bidi w:val="0"/>
              <w:spacing w:before="0" w:after="0"/>
              <w:jc w:val="right"/>
              <w:rPr/>
            </w:pPr>
            <w:r>
              <w:rPr/>
              <w:t>2</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1.3.</w:t>
            </w:r>
          </w:p>
        </w:tc>
        <w:tc>
          <w:tcPr>
            <w:tcW w:w="7972" w:type="dxa"/>
            <w:tcBorders/>
            <w:shd w:fill="CCEEFF" w:val="clear"/>
            <w:vAlign w:val="center"/>
          </w:tcPr>
          <w:p>
            <w:pPr>
              <w:pStyle w:val="TableContents"/>
              <w:bidi w:val="0"/>
              <w:spacing w:before="0" w:after="0"/>
              <w:jc w:val="left"/>
              <w:rPr/>
            </w:pPr>
            <w:r>
              <w:rPr/>
              <w:t>Effects of the Merger</w:t>
            </w:r>
          </w:p>
        </w:tc>
        <w:tc>
          <w:tcPr>
            <w:tcW w:w="516" w:type="dxa"/>
            <w:tcBorders/>
            <w:shd w:fill="CCEEFF" w:val="clear"/>
            <w:vAlign w:val="center"/>
          </w:tcPr>
          <w:p>
            <w:pPr>
              <w:pStyle w:val="TableContents"/>
              <w:bidi w:val="0"/>
              <w:spacing w:before="0" w:after="0"/>
              <w:jc w:val="right"/>
              <w:rPr/>
            </w:pPr>
            <w:r>
              <w:rPr/>
              <w:t>2</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1.4.</w:t>
            </w:r>
          </w:p>
        </w:tc>
        <w:tc>
          <w:tcPr>
            <w:tcW w:w="7972" w:type="dxa"/>
            <w:tcBorders/>
            <w:vAlign w:val="center"/>
          </w:tcPr>
          <w:p>
            <w:pPr>
              <w:pStyle w:val="TableContents"/>
              <w:bidi w:val="0"/>
              <w:spacing w:before="0" w:after="0"/>
              <w:jc w:val="left"/>
              <w:rPr/>
            </w:pPr>
            <w:r>
              <w:rPr/>
              <w:t>Certificate of Incorporation and Bylaws of the Surviving Corporation.</w:t>
            </w:r>
          </w:p>
        </w:tc>
        <w:tc>
          <w:tcPr>
            <w:tcW w:w="516" w:type="dxa"/>
            <w:tcBorders/>
            <w:vAlign w:val="center"/>
          </w:tcPr>
          <w:p>
            <w:pPr>
              <w:pStyle w:val="TableContents"/>
              <w:bidi w:val="0"/>
              <w:spacing w:before="0" w:after="0"/>
              <w:jc w:val="right"/>
              <w:rPr/>
            </w:pPr>
            <w:r>
              <w:rPr/>
              <w:t>2</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1.5.</w:t>
            </w:r>
          </w:p>
        </w:tc>
        <w:tc>
          <w:tcPr>
            <w:tcW w:w="7972" w:type="dxa"/>
            <w:tcBorders/>
            <w:shd w:fill="CCEEFF" w:val="clear"/>
            <w:vAlign w:val="center"/>
          </w:tcPr>
          <w:p>
            <w:pPr>
              <w:pStyle w:val="TableContents"/>
              <w:bidi w:val="0"/>
              <w:spacing w:before="0" w:after="0"/>
              <w:jc w:val="left"/>
              <w:rPr/>
            </w:pPr>
            <w:r>
              <w:rPr/>
              <w:t>Directors and Officers</w:t>
            </w:r>
          </w:p>
        </w:tc>
        <w:tc>
          <w:tcPr>
            <w:tcW w:w="516" w:type="dxa"/>
            <w:tcBorders/>
            <w:shd w:fill="CCEEFF" w:val="clear"/>
            <w:vAlign w:val="center"/>
          </w:tcPr>
          <w:p>
            <w:pPr>
              <w:pStyle w:val="TableContents"/>
              <w:bidi w:val="0"/>
              <w:spacing w:before="0" w:after="0"/>
              <w:jc w:val="right"/>
              <w:rPr/>
            </w:pPr>
            <w:r>
              <w:rPr/>
              <w:t>3</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9689" w:type="dxa"/>
            <w:gridSpan w:val="3"/>
            <w:tcBorders/>
            <w:shd w:fill="CCEEFF" w:val="clear"/>
            <w:vAlign w:val="center"/>
          </w:tcPr>
          <w:p>
            <w:pPr>
              <w:pStyle w:val="TableContents"/>
              <w:bidi w:val="0"/>
              <w:spacing w:before="0" w:after="0"/>
              <w:ind w:left="180" w:right="0" w:hanging="180"/>
              <w:jc w:val="left"/>
              <w:rPr/>
            </w:pPr>
            <w:r>
              <w:rPr/>
              <w:t>ARTICLE II EFFECT OF THE MERGER ON THE CAPITAL STOCK OF THE CONSTITUENT CORPORATIONS</w:t>
            </w:r>
          </w:p>
        </w:tc>
        <w:tc>
          <w:tcPr>
            <w:tcW w:w="516" w:type="dxa"/>
            <w:tcBorders/>
            <w:shd w:fill="CCEEFF" w:val="clear"/>
            <w:vAlign w:val="center"/>
          </w:tcPr>
          <w:p>
            <w:pPr>
              <w:pStyle w:val="TableContents"/>
              <w:bidi w:val="0"/>
              <w:spacing w:before="0" w:after="0"/>
              <w:jc w:val="right"/>
              <w:rPr/>
            </w:pPr>
            <w:r>
              <w:rPr/>
              <w:t>3</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2.1.</w:t>
            </w:r>
          </w:p>
        </w:tc>
        <w:tc>
          <w:tcPr>
            <w:tcW w:w="7972" w:type="dxa"/>
            <w:tcBorders/>
            <w:shd w:fill="CCEEFF" w:val="clear"/>
            <w:vAlign w:val="center"/>
          </w:tcPr>
          <w:p>
            <w:pPr>
              <w:pStyle w:val="TableContents"/>
              <w:bidi w:val="0"/>
              <w:spacing w:before="0" w:after="0"/>
              <w:jc w:val="left"/>
              <w:rPr/>
            </w:pPr>
            <w:r>
              <w:rPr/>
              <w:t>Conversion of Securities</w:t>
            </w:r>
          </w:p>
        </w:tc>
        <w:tc>
          <w:tcPr>
            <w:tcW w:w="516" w:type="dxa"/>
            <w:tcBorders/>
            <w:shd w:fill="CCEEFF" w:val="clear"/>
            <w:vAlign w:val="center"/>
          </w:tcPr>
          <w:p>
            <w:pPr>
              <w:pStyle w:val="TableContents"/>
              <w:bidi w:val="0"/>
              <w:spacing w:before="0" w:after="0"/>
              <w:jc w:val="right"/>
              <w:rPr/>
            </w:pPr>
            <w:r>
              <w:rPr/>
              <w:t>3</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2.2.</w:t>
            </w:r>
          </w:p>
        </w:tc>
        <w:tc>
          <w:tcPr>
            <w:tcW w:w="7972" w:type="dxa"/>
            <w:tcBorders/>
            <w:vAlign w:val="center"/>
          </w:tcPr>
          <w:p>
            <w:pPr>
              <w:pStyle w:val="TableContents"/>
              <w:bidi w:val="0"/>
              <w:spacing w:before="0" w:after="0"/>
              <w:jc w:val="left"/>
              <w:rPr/>
            </w:pPr>
            <w:r>
              <w:rPr/>
              <w:t>Treatment of Company Equity Awards.</w:t>
            </w:r>
          </w:p>
        </w:tc>
        <w:tc>
          <w:tcPr>
            <w:tcW w:w="516" w:type="dxa"/>
            <w:tcBorders/>
            <w:vAlign w:val="center"/>
          </w:tcPr>
          <w:p>
            <w:pPr>
              <w:pStyle w:val="TableContents"/>
              <w:bidi w:val="0"/>
              <w:spacing w:before="0" w:after="0"/>
              <w:jc w:val="right"/>
              <w:rPr/>
            </w:pPr>
            <w:r>
              <w:rPr/>
              <w:t>4</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2.3.</w:t>
            </w:r>
          </w:p>
        </w:tc>
        <w:tc>
          <w:tcPr>
            <w:tcW w:w="7972" w:type="dxa"/>
            <w:tcBorders/>
            <w:shd w:fill="CCEEFF" w:val="clear"/>
            <w:vAlign w:val="center"/>
          </w:tcPr>
          <w:p>
            <w:pPr>
              <w:pStyle w:val="TableContents"/>
              <w:bidi w:val="0"/>
              <w:spacing w:before="0" w:after="0"/>
              <w:jc w:val="left"/>
              <w:rPr/>
            </w:pPr>
            <w:r>
              <w:rPr/>
              <w:t>Treatment of Warrants</w:t>
            </w:r>
          </w:p>
        </w:tc>
        <w:tc>
          <w:tcPr>
            <w:tcW w:w="516" w:type="dxa"/>
            <w:tcBorders/>
            <w:shd w:fill="CCEEFF" w:val="clear"/>
            <w:vAlign w:val="center"/>
          </w:tcPr>
          <w:p>
            <w:pPr>
              <w:pStyle w:val="TableContents"/>
              <w:bidi w:val="0"/>
              <w:spacing w:before="0" w:after="0"/>
              <w:jc w:val="right"/>
              <w:rPr/>
            </w:pPr>
            <w:r>
              <w:rPr/>
              <w:t>5</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2.4.</w:t>
            </w:r>
          </w:p>
        </w:tc>
        <w:tc>
          <w:tcPr>
            <w:tcW w:w="7972" w:type="dxa"/>
            <w:tcBorders/>
            <w:vAlign w:val="center"/>
          </w:tcPr>
          <w:p>
            <w:pPr>
              <w:pStyle w:val="TableContents"/>
              <w:bidi w:val="0"/>
              <w:spacing w:before="0" w:after="0"/>
              <w:jc w:val="left"/>
              <w:rPr/>
            </w:pPr>
            <w:r>
              <w:rPr/>
              <w:t>Dissenting Shares.</w:t>
            </w:r>
          </w:p>
        </w:tc>
        <w:tc>
          <w:tcPr>
            <w:tcW w:w="516" w:type="dxa"/>
            <w:tcBorders/>
            <w:vAlign w:val="center"/>
          </w:tcPr>
          <w:p>
            <w:pPr>
              <w:pStyle w:val="TableContents"/>
              <w:bidi w:val="0"/>
              <w:spacing w:before="0" w:after="0"/>
              <w:jc w:val="right"/>
              <w:rPr/>
            </w:pPr>
            <w:r>
              <w:rPr/>
              <w:t>5</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2.5.</w:t>
            </w:r>
          </w:p>
        </w:tc>
        <w:tc>
          <w:tcPr>
            <w:tcW w:w="7972" w:type="dxa"/>
            <w:tcBorders/>
            <w:shd w:fill="CCEEFF" w:val="clear"/>
            <w:vAlign w:val="center"/>
          </w:tcPr>
          <w:p>
            <w:pPr>
              <w:pStyle w:val="TableContents"/>
              <w:bidi w:val="0"/>
              <w:spacing w:before="0" w:after="0"/>
              <w:jc w:val="left"/>
              <w:rPr/>
            </w:pPr>
            <w:r>
              <w:rPr/>
              <w:t>Surrender of Shares.</w:t>
            </w:r>
          </w:p>
        </w:tc>
        <w:tc>
          <w:tcPr>
            <w:tcW w:w="516" w:type="dxa"/>
            <w:tcBorders/>
            <w:shd w:fill="CCEEFF" w:val="clear"/>
            <w:vAlign w:val="center"/>
          </w:tcPr>
          <w:p>
            <w:pPr>
              <w:pStyle w:val="TableContents"/>
              <w:bidi w:val="0"/>
              <w:spacing w:before="0" w:after="0"/>
              <w:jc w:val="right"/>
              <w:rPr/>
            </w:pPr>
            <w:r>
              <w:rPr/>
              <w:t>6</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2.6.</w:t>
            </w:r>
          </w:p>
        </w:tc>
        <w:tc>
          <w:tcPr>
            <w:tcW w:w="7972" w:type="dxa"/>
            <w:tcBorders/>
            <w:vAlign w:val="center"/>
          </w:tcPr>
          <w:p>
            <w:pPr>
              <w:pStyle w:val="TableContents"/>
              <w:bidi w:val="0"/>
              <w:spacing w:before="0" w:after="0"/>
              <w:jc w:val="left"/>
              <w:rPr/>
            </w:pPr>
            <w:r>
              <w:rPr/>
              <w:t>Section 16 Matters</w:t>
            </w:r>
          </w:p>
        </w:tc>
        <w:tc>
          <w:tcPr>
            <w:tcW w:w="516" w:type="dxa"/>
            <w:tcBorders/>
            <w:vAlign w:val="center"/>
          </w:tcPr>
          <w:p>
            <w:pPr>
              <w:pStyle w:val="TableContents"/>
              <w:bidi w:val="0"/>
              <w:spacing w:before="0" w:after="0"/>
              <w:jc w:val="right"/>
              <w:rPr/>
            </w:pPr>
            <w:r>
              <w:rPr/>
              <w:t>8</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2.7.</w:t>
            </w:r>
          </w:p>
        </w:tc>
        <w:tc>
          <w:tcPr>
            <w:tcW w:w="7972" w:type="dxa"/>
            <w:tcBorders/>
            <w:shd w:fill="CCEEFF" w:val="clear"/>
            <w:vAlign w:val="center"/>
          </w:tcPr>
          <w:p>
            <w:pPr>
              <w:pStyle w:val="TableContents"/>
              <w:bidi w:val="0"/>
              <w:spacing w:before="0" w:after="0"/>
              <w:jc w:val="left"/>
              <w:rPr/>
            </w:pPr>
            <w:r>
              <w:rPr/>
              <w:t>Withholding</w:t>
            </w:r>
          </w:p>
        </w:tc>
        <w:tc>
          <w:tcPr>
            <w:tcW w:w="516" w:type="dxa"/>
            <w:tcBorders/>
            <w:shd w:fill="CCEEFF" w:val="clear"/>
            <w:vAlign w:val="center"/>
          </w:tcPr>
          <w:p>
            <w:pPr>
              <w:pStyle w:val="TableContents"/>
              <w:bidi w:val="0"/>
              <w:spacing w:before="0" w:after="0"/>
              <w:jc w:val="right"/>
              <w:rPr/>
            </w:pPr>
            <w:r>
              <w:rPr/>
              <w:t>8</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2.8.</w:t>
            </w:r>
          </w:p>
        </w:tc>
        <w:tc>
          <w:tcPr>
            <w:tcW w:w="7972" w:type="dxa"/>
            <w:tcBorders/>
            <w:vAlign w:val="center"/>
          </w:tcPr>
          <w:p>
            <w:pPr>
              <w:pStyle w:val="TableContents"/>
              <w:bidi w:val="0"/>
              <w:spacing w:before="0" w:after="0"/>
              <w:jc w:val="left"/>
              <w:rPr/>
            </w:pPr>
            <w:r>
              <w:rPr/>
              <w:t>Transfer Taxes</w:t>
            </w:r>
          </w:p>
        </w:tc>
        <w:tc>
          <w:tcPr>
            <w:tcW w:w="516" w:type="dxa"/>
            <w:tcBorders/>
            <w:vAlign w:val="center"/>
          </w:tcPr>
          <w:p>
            <w:pPr>
              <w:pStyle w:val="TableContents"/>
              <w:bidi w:val="0"/>
              <w:spacing w:before="0" w:after="0"/>
              <w:jc w:val="right"/>
              <w:rPr/>
            </w:pPr>
            <w:r>
              <w:rPr/>
              <w:t>9</w:t>
            </w:r>
          </w:p>
        </w:tc>
      </w:tr>
      <w:tr>
        <w:trPr/>
        <w:tc>
          <w:tcPr>
            <w:tcW w:w="9689" w:type="dxa"/>
            <w:gridSpan w:val="3"/>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r>
      <w:tr>
        <w:trPr/>
        <w:tc>
          <w:tcPr>
            <w:tcW w:w="9689" w:type="dxa"/>
            <w:gridSpan w:val="3"/>
            <w:tcBorders/>
            <w:vAlign w:val="center"/>
          </w:tcPr>
          <w:p>
            <w:pPr>
              <w:pStyle w:val="TableContents"/>
              <w:bidi w:val="0"/>
              <w:spacing w:before="0" w:after="0"/>
              <w:jc w:val="left"/>
              <w:rPr/>
            </w:pPr>
            <w:r>
              <w:rPr/>
              <w:t>ARTICLE III REPRESENTATIONS AND WARRANTIES OF THE COMPANY</w:t>
            </w:r>
          </w:p>
        </w:tc>
        <w:tc>
          <w:tcPr>
            <w:tcW w:w="516" w:type="dxa"/>
            <w:tcBorders/>
            <w:vAlign w:val="center"/>
          </w:tcPr>
          <w:p>
            <w:pPr>
              <w:pStyle w:val="TableContents"/>
              <w:bidi w:val="0"/>
              <w:spacing w:before="0" w:after="0"/>
              <w:jc w:val="right"/>
              <w:rPr/>
            </w:pPr>
            <w:r>
              <w:rPr/>
              <w:t>9</w:t>
            </w:r>
          </w:p>
        </w:tc>
      </w:tr>
      <w:tr>
        <w:trPr/>
        <w:tc>
          <w:tcPr>
            <w:tcW w:w="9689" w:type="dxa"/>
            <w:gridSpan w:val="3"/>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w:t>
            </w:r>
          </w:p>
        </w:tc>
        <w:tc>
          <w:tcPr>
            <w:tcW w:w="7972" w:type="dxa"/>
            <w:tcBorders/>
            <w:vAlign w:val="center"/>
          </w:tcPr>
          <w:p>
            <w:pPr>
              <w:pStyle w:val="TableContents"/>
              <w:bidi w:val="0"/>
              <w:spacing w:before="0" w:after="0"/>
              <w:jc w:val="left"/>
              <w:rPr/>
            </w:pPr>
            <w:r>
              <w:rPr/>
              <w:t>Organization and Corporate Power; Subsidiaries.</w:t>
            </w:r>
          </w:p>
        </w:tc>
        <w:tc>
          <w:tcPr>
            <w:tcW w:w="516" w:type="dxa"/>
            <w:tcBorders/>
            <w:vAlign w:val="center"/>
          </w:tcPr>
          <w:p>
            <w:pPr>
              <w:pStyle w:val="TableContents"/>
              <w:bidi w:val="0"/>
              <w:spacing w:before="0" w:after="0"/>
              <w:jc w:val="right"/>
              <w:rPr/>
            </w:pPr>
            <w:r>
              <w:rPr/>
              <w:t>9</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3.2.</w:t>
            </w:r>
          </w:p>
        </w:tc>
        <w:tc>
          <w:tcPr>
            <w:tcW w:w="7972" w:type="dxa"/>
            <w:tcBorders/>
            <w:shd w:fill="CCEEFF" w:val="clear"/>
            <w:vAlign w:val="center"/>
          </w:tcPr>
          <w:p>
            <w:pPr>
              <w:pStyle w:val="TableContents"/>
              <w:bidi w:val="0"/>
              <w:spacing w:before="0" w:after="0"/>
              <w:jc w:val="left"/>
              <w:rPr/>
            </w:pPr>
            <w:r>
              <w:rPr/>
              <w:t>Authorization; Valid and Binding Agreement</w:t>
            </w:r>
          </w:p>
        </w:tc>
        <w:tc>
          <w:tcPr>
            <w:tcW w:w="516" w:type="dxa"/>
            <w:tcBorders/>
            <w:shd w:fill="CCEEFF" w:val="clear"/>
            <w:vAlign w:val="center"/>
          </w:tcPr>
          <w:p>
            <w:pPr>
              <w:pStyle w:val="TableContents"/>
              <w:bidi w:val="0"/>
              <w:spacing w:before="0" w:after="0"/>
              <w:jc w:val="right"/>
              <w:rPr/>
            </w:pPr>
            <w:r>
              <w:rPr/>
              <w:t>10</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3.3.</w:t>
            </w:r>
          </w:p>
        </w:tc>
        <w:tc>
          <w:tcPr>
            <w:tcW w:w="7972" w:type="dxa"/>
            <w:tcBorders/>
            <w:vAlign w:val="center"/>
          </w:tcPr>
          <w:p>
            <w:pPr>
              <w:pStyle w:val="TableContents"/>
              <w:bidi w:val="0"/>
              <w:spacing w:before="0" w:after="0"/>
              <w:jc w:val="left"/>
              <w:rPr/>
            </w:pPr>
            <w:r>
              <w:rPr/>
              <w:t>Capital Stock.</w:t>
            </w:r>
          </w:p>
        </w:tc>
        <w:tc>
          <w:tcPr>
            <w:tcW w:w="516" w:type="dxa"/>
            <w:tcBorders/>
            <w:vAlign w:val="center"/>
          </w:tcPr>
          <w:p>
            <w:pPr>
              <w:pStyle w:val="TableContents"/>
              <w:bidi w:val="0"/>
              <w:spacing w:before="0" w:after="0"/>
              <w:jc w:val="right"/>
              <w:rPr/>
            </w:pPr>
            <w:r>
              <w:rPr/>
              <w:t>10</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3.4.</w:t>
            </w:r>
          </w:p>
        </w:tc>
        <w:tc>
          <w:tcPr>
            <w:tcW w:w="7972" w:type="dxa"/>
            <w:tcBorders/>
            <w:shd w:fill="CCEEFF" w:val="clear"/>
            <w:vAlign w:val="center"/>
          </w:tcPr>
          <w:p>
            <w:pPr>
              <w:pStyle w:val="TableContents"/>
              <w:bidi w:val="0"/>
              <w:spacing w:before="0" w:after="0"/>
              <w:jc w:val="left"/>
              <w:rPr/>
            </w:pPr>
            <w:r>
              <w:rPr/>
              <w:t>No Breach</w:t>
            </w:r>
          </w:p>
        </w:tc>
        <w:tc>
          <w:tcPr>
            <w:tcW w:w="516" w:type="dxa"/>
            <w:tcBorders/>
            <w:shd w:fill="CCEEFF" w:val="clear"/>
            <w:vAlign w:val="center"/>
          </w:tcPr>
          <w:p>
            <w:pPr>
              <w:pStyle w:val="TableContents"/>
              <w:bidi w:val="0"/>
              <w:spacing w:before="0" w:after="0"/>
              <w:jc w:val="right"/>
              <w:rPr/>
            </w:pPr>
            <w:r>
              <w:rPr/>
              <w:t>13</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3.5.</w:t>
            </w:r>
          </w:p>
        </w:tc>
        <w:tc>
          <w:tcPr>
            <w:tcW w:w="7972" w:type="dxa"/>
            <w:tcBorders/>
            <w:vAlign w:val="center"/>
          </w:tcPr>
          <w:p>
            <w:pPr>
              <w:pStyle w:val="TableContents"/>
              <w:bidi w:val="0"/>
              <w:spacing w:before="0" w:after="0"/>
              <w:jc w:val="left"/>
              <w:rPr/>
            </w:pPr>
            <w:r>
              <w:rPr/>
              <w:t>Consents</w:t>
            </w:r>
          </w:p>
        </w:tc>
        <w:tc>
          <w:tcPr>
            <w:tcW w:w="516" w:type="dxa"/>
            <w:tcBorders/>
            <w:vAlign w:val="center"/>
          </w:tcPr>
          <w:p>
            <w:pPr>
              <w:pStyle w:val="TableContents"/>
              <w:bidi w:val="0"/>
              <w:spacing w:before="0" w:after="0"/>
              <w:jc w:val="right"/>
              <w:rPr/>
            </w:pPr>
            <w:r>
              <w:rPr/>
              <w:t>13</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3.6.</w:t>
            </w:r>
          </w:p>
        </w:tc>
        <w:tc>
          <w:tcPr>
            <w:tcW w:w="7972" w:type="dxa"/>
            <w:tcBorders/>
            <w:shd w:fill="CCEEFF" w:val="clear"/>
            <w:vAlign w:val="center"/>
          </w:tcPr>
          <w:p>
            <w:pPr>
              <w:pStyle w:val="TableContents"/>
              <w:bidi w:val="0"/>
              <w:spacing w:before="0" w:after="0"/>
              <w:jc w:val="left"/>
              <w:rPr/>
            </w:pPr>
            <w:r>
              <w:rPr/>
              <w:t>SEC Reports; Disclosure Controls and Procedures.</w:t>
            </w:r>
          </w:p>
        </w:tc>
        <w:tc>
          <w:tcPr>
            <w:tcW w:w="516" w:type="dxa"/>
            <w:tcBorders/>
            <w:shd w:fill="CCEEFF" w:val="clear"/>
            <w:vAlign w:val="center"/>
          </w:tcPr>
          <w:p>
            <w:pPr>
              <w:pStyle w:val="TableContents"/>
              <w:bidi w:val="0"/>
              <w:spacing w:before="0" w:after="0"/>
              <w:jc w:val="right"/>
              <w:rPr/>
            </w:pPr>
            <w:r>
              <w:rPr/>
              <w:t>14</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3.7.</w:t>
            </w:r>
          </w:p>
        </w:tc>
        <w:tc>
          <w:tcPr>
            <w:tcW w:w="7972" w:type="dxa"/>
            <w:tcBorders/>
            <w:vAlign w:val="center"/>
          </w:tcPr>
          <w:p>
            <w:pPr>
              <w:pStyle w:val="TableContents"/>
              <w:bidi w:val="0"/>
              <w:spacing w:before="0" w:after="0"/>
              <w:jc w:val="left"/>
              <w:rPr/>
            </w:pPr>
            <w:r>
              <w:rPr/>
              <w:t>No Undisclosed Liabilities</w:t>
            </w:r>
          </w:p>
        </w:tc>
        <w:tc>
          <w:tcPr>
            <w:tcW w:w="516" w:type="dxa"/>
            <w:tcBorders/>
            <w:vAlign w:val="center"/>
          </w:tcPr>
          <w:p>
            <w:pPr>
              <w:pStyle w:val="TableContents"/>
              <w:bidi w:val="0"/>
              <w:spacing w:before="0" w:after="0"/>
              <w:jc w:val="right"/>
              <w:rPr/>
            </w:pPr>
            <w:r>
              <w:rPr/>
              <w:t>16</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3.8.</w:t>
            </w:r>
          </w:p>
        </w:tc>
        <w:tc>
          <w:tcPr>
            <w:tcW w:w="7972" w:type="dxa"/>
            <w:tcBorders/>
            <w:shd w:fill="CCEEFF" w:val="clear"/>
            <w:vAlign w:val="center"/>
          </w:tcPr>
          <w:p>
            <w:pPr>
              <w:pStyle w:val="TableContents"/>
              <w:bidi w:val="0"/>
              <w:spacing w:before="0" w:after="0"/>
              <w:jc w:val="left"/>
              <w:rPr/>
            </w:pPr>
            <w:r>
              <w:rPr/>
              <w:t>Absence of Certain Developments.</w:t>
            </w:r>
          </w:p>
        </w:tc>
        <w:tc>
          <w:tcPr>
            <w:tcW w:w="516" w:type="dxa"/>
            <w:tcBorders/>
            <w:shd w:fill="CCEEFF" w:val="clear"/>
            <w:vAlign w:val="center"/>
          </w:tcPr>
          <w:p>
            <w:pPr>
              <w:pStyle w:val="TableContents"/>
              <w:bidi w:val="0"/>
              <w:spacing w:before="0" w:after="0"/>
              <w:jc w:val="right"/>
              <w:rPr/>
            </w:pPr>
            <w:r>
              <w:rPr/>
              <w:t>16</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3.9.</w:t>
            </w:r>
          </w:p>
        </w:tc>
        <w:tc>
          <w:tcPr>
            <w:tcW w:w="7972" w:type="dxa"/>
            <w:tcBorders/>
            <w:vAlign w:val="center"/>
          </w:tcPr>
          <w:p>
            <w:pPr>
              <w:pStyle w:val="TableContents"/>
              <w:bidi w:val="0"/>
              <w:spacing w:before="0" w:after="0"/>
              <w:jc w:val="left"/>
              <w:rPr/>
            </w:pPr>
            <w:r>
              <w:rPr/>
              <w:t>Compliance with Laws</w:t>
            </w:r>
          </w:p>
        </w:tc>
        <w:tc>
          <w:tcPr>
            <w:tcW w:w="516" w:type="dxa"/>
            <w:tcBorders/>
            <w:vAlign w:val="center"/>
          </w:tcPr>
          <w:p>
            <w:pPr>
              <w:pStyle w:val="TableContents"/>
              <w:bidi w:val="0"/>
              <w:spacing w:before="0" w:after="0"/>
              <w:jc w:val="right"/>
              <w:rPr/>
            </w:pPr>
            <w:r>
              <w:rPr/>
              <w:t>16</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3.10.</w:t>
            </w:r>
          </w:p>
        </w:tc>
        <w:tc>
          <w:tcPr>
            <w:tcW w:w="7972" w:type="dxa"/>
            <w:tcBorders/>
            <w:shd w:fill="CCEEFF" w:val="clear"/>
            <w:vAlign w:val="center"/>
          </w:tcPr>
          <w:p>
            <w:pPr>
              <w:pStyle w:val="TableContents"/>
              <w:bidi w:val="0"/>
              <w:spacing w:before="0" w:after="0"/>
              <w:jc w:val="left"/>
              <w:rPr/>
            </w:pPr>
            <w:r>
              <w:rPr/>
              <w:t>Title to Tangible Properties.</w:t>
            </w:r>
          </w:p>
        </w:tc>
        <w:tc>
          <w:tcPr>
            <w:tcW w:w="516" w:type="dxa"/>
            <w:tcBorders/>
            <w:shd w:fill="CCEEFF" w:val="clear"/>
            <w:vAlign w:val="center"/>
          </w:tcPr>
          <w:p>
            <w:pPr>
              <w:pStyle w:val="TableContents"/>
              <w:bidi w:val="0"/>
              <w:spacing w:before="0" w:after="0"/>
              <w:jc w:val="right"/>
              <w:rPr/>
            </w:pPr>
            <w:r>
              <w:rPr/>
              <w:t>17</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3.11.</w:t>
            </w:r>
          </w:p>
        </w:tc>
        <w:tc>
          <w:tcPr>
            <w:tcW w:w="7972" w:type="dxa"/>
            <w:tcBorders/>
            <w:vAlign w:val="center"/>
          </w:tcPr>
          <w:p>
            <w:pPr>
              <w:pStyle w:val="TableContents"/>
              <w:bidi w:val="0"/>
              <w:spacing w:before="0" w:after="0"/>
              <w:jc w:val="left"/>
              <w:rPr/>
            </w:pPr>
            <w:r>
              <w:rPr/>
              <w:t>Tax Matters</w:t>
            </w:r>
          </w:p>
        </w:tc>
        <w:tc>
          <w:tcPr>
            <w:tcW w:w="516" w:type="dxa"/>
            <w:tcBorders/>
            <w:vAlign w:val="center"/>
          </w:tcPr>
          <w:p>
            <w:pPr>
              <w:pStyle w:val="TableContents"/>
              <w:bidi w:val="0"/>
              <w:spacing w:before="0" w:after="0"/>
              <w:jc w:val="right"/>
              <w:rPr/>
            </w:pPr>
            <w:r>
              <w:rPr/>
              <w:t>18</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3.12.</w:t>
            </w:r>
          </w:p>
        </w:tc>
        <w:tc>
          <w:tcPr>
            <w:tcW w:w="7972" w:type="dxa"/>
            <w:tcBorders/>
            <w:shd w:fill="CCEEFF" w:val="clear"/>
            <w:vAlign w:val="center"/>
          </w:tcPr>
          <w:p>
            <w:pPr>
              <w:pStyle w:val="TableContents"/>
              <w:bidi w:val="0"/>
              <w:spacing w:before="0" w:after="0"/>
              <w:jc w:val="left"/>
              <w:rPr/>
            </w:pPr>
            <w:r>
              <w:rPr/>
              <w:t>Contracts and Commitments.</w:t>
            </w:r>
          </w:p>
        </w:tc>
        <w:tc>
          <w:tcPr>
            <w:tcW w:w="516" w:type="dxa"/>
            <w:tcBorders/>
            <w:shd w:fill="CCEEFF" w:val="clear"/>
            <w:vAlign w:val="center"/>
          </w:tcPr>
          <w:p>
            <w:pPr>
              <w:pStyle w:val="TableContents"/>
              <w:bidi w:val="0"/>
              <w:spacing w:before="0" w:after="0"/>
              <w:jc w:val="right"/>
              <w:rPr/>
            </w:pPr>
            <w:r>
              <w:rPr/>
              <w:t>20</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3.13.</w:t>
            </w:r>
          </w:p>
        </w:tc>
        <w:tc>
          <w:tcPr>
            <w:tcW w:w="7972" w:type="dxa"/>
            <w:tcBorders/>
            <w:vAlign w:val="center"/>
          </w:tcPr>
          <w:p>
            <w:pPr>
              <w:pStyle w:val="TableContents"/>
              <w:bidi w:val="0"/>
              <w:spacing w:before="0" w:after="0"/>
              <w:jc w:val="left"/>
              <w:rPr/>
            </w:pPr>
            <w:r>
              <w:rPr/>
              <w:t>Intellectual Property.</w:t>
            </w:r>
          </w:p>
        </w:tc>
        <w:tc>
          <w:tcPr>
            <w:tcW w:w="516" w:type="dxa"/>
            <w:tcBorders/>
            <w:vAlign w:val="center"/>
          </w:tcPr>
          <w:p>
            <w:pPr>
              <w:pStyle w:val="TableContents"/>
              <w:bidi w:val="0"/>
              <w:spacing w:before="0" w:after="0"/>
              <w:jc w:val="right"/>
              <w:rPr/>
            </w:pPr>
            <w:r>
              <w:rPr/>
              <w:t>23</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3.14.</w:t>
            </w:r>
          </w:p>
        </w:tc>
        <w:tc>
          <w:tcPr>
            <w:tcW w:w="7972" w:type="dxa"/>
            <w:tcBorders/>
            <w:shd w:fill="CCEEFF" w:val="clear"/>
            <w:vAlign w:val="center"/>
          </w:tcPr>
          <w:p>
            <w:pPr>
              <w:pStyle w:val="TableContents"/>
              <w:bidi w:val="0"/>
              <w:spacing w:before="0" w:after="0"/>
              <w:jc w:val="left"/>
              <w:rPr/>
            </w:pPr>
            <w:r>
              <w:rPr/>
              <w:t>Litigation</w:t>
            </w:r>
          </w:p>
        </w:tc>
        <w:tc>
          <w:tcPr>
            <w:tcW w:w="516" w:type="dxa"/>
            <w:tcBorders/>
            <w:shd w:fill="CCEEFF" w:val="clear"/>
            <w:vAlign w:val="center"/>
          </w:tcPr>
          <w:p>
            <w:pPr>
              <w:pStyle w:val="TableContents"/>
              <w:bidi w:val="0"/>
              <w:spacing w:before="0" w:after="0"/>
              <w:jc w:val="right"/>
              <w:rPr/>
            </w:pPr>
            <w:r>
              <w:rPr/>
              <w:t>27</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3.15.</w:t>
            </w:r>
          </w:p>
        </w:tc>
        <w:tc>
          <w:tcPr>
            <w:tcW w:w="7972" w:type="dxa"/>
            <w:tcBorders/>
            <w:vAlign w:val="center"/>
          </w:tcPr>
          <w:p>
            <w:pPr>
              <w:pStyle w:val="TableContents"/>
              <w:bidi w:val="0"/>
              <w:spacing w:before="0" w:after="0"/>
              <w:jc w:val="left"/>
              <w:rPr/>
            </w:pPr>
            <w:r>
              <w:rPr/>
              <w:t>Insurance</w:t>
            </w:r>
          </w:p>
        </w:tc>
        <w:tc>
          <w:tcPr>
            <w:tcW w:w="516" w:type="dxa"/>
            <w:tcBorders/>
            <w:vAlign w:val="center"/>
          </w:tcPr>
          <w:p>
            <w:pPr>
              <w:pStyle w:val="TableContents"/>
              <w:bidi w:val="0"/>
              <w:spacing w:before="0" w:after="0"/>
              <w:jc w:val="right"/>
              <w:rPr/>
            </w:pPr>
            <w:r>
              <w:rPr/>
              <w:t>27</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3.16.</w:t>
            </w:r>
          </w:p>
        </w:tc>
        <w:tc>
          <w:tcPr>
            <w:tcW w:w="7972" w:type="dxa"/>
            <w:tcBorders/>
            <w:shd w:fill="CCEEFF" w:val="clear"/>
            <w:vAlign w:val="center"/>
          </w:tcPr>
          <w:p>
            <w:pPr>
              <w:pStyle w:val="TableContents"/>
              <w:bidi w:val="0"/>
              <w:spacing w:before="0" w:after="0"/>
              <w:jc w:val="left"/>
              <w:rPr/>
            </w:pPr>
            <w:r>
              <w:rPr/>
              <w:t>Employee Benefit Plans.</w:t>
            </w:r>
          </w:p>
        </w:tc>
        <w:tc>
          <w:tcPr>
            <w:tcW w:w="516" w:type="dxa"/>
            <w:tcBorders/>
            <w:shd w:fill="CCEEFF" w:val="clear"/>
            <w:vAlign w:val="center"/>
          </w:tcPr>
          <w:p>
            <w:pPr>
              <w:pStyle w:val="TableContents"/>
              <w:bidi w:val="0"/>
              <w:spacing w:before="0" w:after="0"/>
              <w:jc w:val="right"/>
              <w:rPr/>
            </w:pPr>
            <w:r>
              <w:rPr/>
              <w:t>27</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3.17.</w:t>
            </w:r>
          </w:p>
        </w:tc>
        <w:tc>
          <w:tcPr>
            <w:tcW w:w="7972" w:type="dxa"/>
            <w:tcBorders/>
            <w:vAlign w:val="center"/>
          </w:tcPr>
          <w:p>
            <w:pPr>
              <w:pStyle w:val="TableContents"/>
              <w:bidi w:val="0"/>
              <w:spacing w:before="0" w:after="0"/>
              <w:jc w:val="left"/>
              <w:rPr/>
            </w:pPr>
            <w:r>
              <w:rPr/>
              <w:t>Environmental Compliance and Conditions</w:t>
            </w:r>
          </w:p>
        </w:tc>
        <w:tc>
          <w:tcPr>
            <w:tcW w:w="516" w:type="dxa"/>
            <w:tcBorders/>
            <w:vAlign w:val="center"/>
          </w:tcPr>
          <w:p>
            <w:pPr>
              <w:pStyle w:val="TableContents"/>
              <w:bidi w:val="0"/>
              <w:spacing w:before="0" w:after="0"/>
              <w:jc w:val="right"/>
              <w:rPr/>
            </w:pPr>
            <w:r>
              <w:rPr/>
              <w:t>30</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3.18.</w:t>
            </w:r>
          </w:p>
        </w:tc>
        <w:tc>
          <w:tcPr>
            <w:tcW w:w="7972" w:type="dxa"/>
            <w:tcBorders/>
            <w:shd w:fill="CCEEFF" w:val="clear"/>
            <w:vAlign w:val="center"/>
          </w:tcPr>
          <w:p>
            <w:pPr>
              <w:pStyle w:val="TableContents"/>
              <w:bidi w:val="0"/>
              <w:spacing w:before="0" w:after="0"/>
              <w:jc w:val="left"/>
              <w:rPr/>
            </w:pPr>
            <w:r>
              <w:rPr/>
              <w:t>Employment and Labor Matters.</w:t>
            </w:r>
          </w:p>
        </w:tc>
        <w:tc>
          <w:tcPr>
            <w:tcW w:w="516" w:type="dxa"/>
            <w:tcBorders/>
            <w:shd w:fill="CCEEFF" w:val="clear"/>
            <w:vAlign w:val="center"/>
          </w:tcPr>
          <w:p>
            <w:pPr>
              <w:pStyle w:val="TableContents"/>
              <w:bidi w:val="0"/>
              <w:spacing w:before="0" w:after="0"/>
              <w:jc w:val="right"/>
              <w:rPr/>
            </w:pPr>
            <w:r>
              <w:rPr/>
              <w:t>31</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3.19.</w:t>
            </w:r>
          </w:p>
        </w:tc>
        <w:tc>
          <w:tcPr>
            <w:tcW w:w="7972" w:type="dxa"/>
            <w:tcBorders/>
            <w:vAlign w:val="center"/>
          </w:tcPr>
          <w:p>
            <w:pPr>
              <w:pStyle w:val="TableContents"/>
              <w:bidi w:val="0"/>
              <w:spacing w:before="0" w:after="0"/>
              <w:jc w:val="left"/>
              <w:rPr/>
            </w:pPr>
            <w:r>
              <w:rPr/>
              <w:t>Regulatory and Compliance Matters.</w:t>
            </w:r>
          </w:p>
        </w:tc>
        <w:tc>
          <w:tcPr>
            <w:tcW w:w="516" w:type="dxa"/>
            <w:tcBorders/>
            <w:vAlign w:val="center"/>
          </w:tcPr>
          <w:p>
            <w:pPr>
              <w:pStyle w:val="TableContents"/>
              <w:bidi w:val="0"/>
              <w:spacing w:before="0" w:after="0"/>
              <w:jc w:val="right"/>
              <w:rPr/>
            </w:pPr>
            <w:r>
              <w:rPr/>
              <w:t>33</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3.20.</w:t>
            </w:r>
          </w:p>
        </w:tc>
        <w:tc>
          <w:tcPr>
            <w:tcW w:w="7972" w:type="dxa"/>
            <w:tcBorders/>
            <w:shd w:fill="CCEEFF" w:val="clear"/>
            <w:vAlign w:val="center"/>
          </w:tcPr>
          <w:p>
            <w:pPr>
              <w:pStyle w:val="TableContents"/>
              <w:bidi w:val="0"/>
              <w:spacing w:before="0" w:after="0"/>
              <w:jc w:val="left"/>
              <w:rPr/>
            </w:pPr>
            <w:r>
              <w:rPr/>
              <w:t>Suppliers</w:t>
            </w:r>
          </w:p>
        </w:tc>
        <w:tc>
          <w:tcPr>
            <w:tcW w:w="516" w:type="dxa"/>
            <w:tcBorders/>
            <w:shd w:fill="CCEEFF" w:val="clear"/>
            <w:vAlign w:val="center"/>
          </w:tcPr>
          <w:p>
            <w:pPr>
              <w:pStyle w:val="TableContents"/>
              <w:bidi w:val="0"/>
              <w:spacing w:before="0" w:after="283"/>
              <w:jc w:val="right"/>
              <w:rPr/>
            </w:pPr>
            <w:r>
              <w:rPr/>
              <w:t>39</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3.21.</w:t>
            </w:r>
          </w:p>
        </w:tc>
        <w:tc>
          <w:tcPr>
            <w:tcW w:w="7972" w:type="dxa"/>
            <w:tcBorders/>
            <w:vAlign w:val="center"/>
          </w:tcPr>
          <w:p>
            <w:pPr>
              <w:pStyle w:val="TableContents"/>
              <w:bidi w:val="0"/>
              <w:spacing w:before="0" w:after="0"/>
              <w:jc w:val="left"/>
              <w:rPr/>
            </w:pPr>
            <w:r>
              <w:rPr/>
              <w:t>Brokerage</w:t>
            </w:r>
          </w:p>
        </w:tc>
        <w:tc>
          <w:tcPr>
            <w:tcW w:w="516" w:type="dxa"/>
            <w:tcBorders/>
            <w:vAlign w:val="center"/>
          </w:tcPr>
          <w:p>
            <w:pPr>
              <w:pStyle w:val="TableContents"/>
              <w:bidi w:val="0"/>
              <w:spacing w:before="0" w:after="283"/>
              <w:jc w:val="right"/>
              <w:rPr/>
            </w:pPr>
            <w:r>
              <w:rPr/>
              <w:t>39</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3.22.</w:t>
            </w:r>
          </w:p>
        </w:tc>
        <w:tc>
          <w:tcPr>
            <w:tcW w:w="7972" w:type="dxa"/>
            <w:tcBorders/>
            <w:shd w:fill="CCEEFF" w:val="clear"/>
            <w:vAlign w:val="center"/>
          </w:tcPr>
          <w:p>
            <w:pPr>
              <w:pStyle w:val="TableContents"/>
              <w:bidi w:val="0"/>
              <w:spacing w:before="0" w:after="0"/>
              <w:jc w:val="left"/>
              <w:rPr/>
            </w:pPr>
            <w:r>
              <w:rPr/>
              <w:t>No Rights Agreement; Anti-Takeover Provisions</w:t>
            </w:r>
          </w:p>
        </w:tc>
        <w:tc>
          <w:tcPr>
            <w:tcW w:w="516" w:type="dxa"/>
            <w:tcBorders/>
            <w:shd w:fill="CCEEFF" w:val="clear"/>
            <w:vAlign w:val="center"/>
          </w:tcPr>
          <w:p>
            <w:pPr>
              <w:pStyle w:val="TableContents"/>
              <w:bidi w:val="0"/>
              <w:spacing w:before="0" w:after="0"/>
              <w:jc w:val="right"/>
              <w:rPr/>
            </w:pPr>
            <w:r>
              <w:rPr/>
              <w:t>40</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3.23.</w:t>
            </w:r>
          </w:p>
        </w:tc>
        <w:tc>
          <w:tcPr>
            <w:tcW w:w="7972" w:type="dxa"/>
            <w:tcBorders/>
            <w:vAlign w:val="center"/>
          </w:tcPr>
          <w:p>
            <w:pPr>
              <w:pStyle w:val="TableContents"/>
              <w:bidi w:val="0"/>
              <w:spacing w:before="0" w:after="0"/>
              <w:jc w:val="left"/>
              <w:rPr/>
            </w:pPr>
            <w:r>
              <w:rPr/>
              <w:t>Opinion</w:t>
            </w:r>
          </w:p>
        </w:tc>
        <w:tc>
          <w:tcPr>
            <w:tcW w:w="516" w:type="dxa"/>
            <w:tcBorders/>
            <w:vAlign w:val="center"/>
          </w:tcPr>
          <w:p>
            <w:pPr>
              <w:pStyle w:val="TableContents"/>
              <w:bidi w:val="0"/>
              <w:spacing w:before="0" w:after="0"/>
              <w:jc w:val="right"/>
              <w:rPr/>
            </w:pPr>
            <w:r>
              <w:rPr/>
              <w:t>40</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3.24.</w:t>
            </w:r>
          </w:p>
        </w:tc>
        <w:tc>
          <w:tcPr>
            <w:tcW w:w="7972" w:type="dxa"/>
            <w:tcBorders/>
            <w:shd w:fill="CCEEFF" w:val="clear"/>
            <w:vAlign w:val="center"/>
          </w:tcPr>
          <w:p>
            <w:pPr>
              <w:pStyle w:val="TableContents"/>
              <w:bidi w:val="0"/>
              <w:spacing w:before="0" w:after="0"/>
              <w:jc w:val="left"/>
              <w:rPr/>
            </w:pPr>
            <w:r>
              <w:rPr/>
              <w:t>Affiliate Transactions</w:t>
            </w:r>
          </w:p>
        </w:tc>
        <w:tc>
          <w:tcPr>
            <w:tcW w:w="516" w:type="dxa"/>
            <w:tcBorders/>
            <w:shd w:fill="CCEEFF" w:val="clear"/>
            <w:vAlign w:val="center"/>
          </w:tcPr>
          <w:p>
            <w:pPr>
              <w:pStyle w:val="TableContents"/>
              <w:bidi w:val="0"/>
              <w:spacing w:before="0" w:after="0"/>
              <w:jc w:val="right"/>
              <w:rPr/>
            </w:pPr>
            <w:r>
              <w:rPr/>
              <w:t>41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tbl>
      <w:tblPr>
        <w:tblW w:w="9908" w:type="dxa"/>
        <w:jc w:val="left"/>
        <w:tblInd w:w="0" w:type="dxa"/>
        <w:tblLayout w:type="fixed"/>
        <w:tblCellMar>
          <w:top w:w="0" w:type="dxa"/>
          <w:left w:w="0" w:type="dxa"/>
          <w:bottom w:w="0" w:type="dxa"/>
          <w:right w:w="0" w:type="dxa"/>
        </w:tblCellMar>
      </w:tblPr>
      <w:tblGrid>
        <w:gridCol w:w="61"/>
        <w:gridCol w:w="1298"/>
        <w:gridCol w:w="8229"/>
        <w:gridCol w:w="320"/>
      </w:tblGrid>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3.25.</w:t>
            </w:r>
          </w:p>
        </w:tc>
        <w:tc>
          <w:tcPr>
            <w:tcW w:w="8229" w:type="dxa"/>
            <w:tcBorders/>
            <w:vAlign w:val="center"/>
          </w:tcPr>
          <w:p>
            <w:pPr>
              <w:pStyle w:val="TableContents"/>
              <w:bidi w:val="0"/>
              <w:spacing w:before="0" w:after="0"/>
              <w:jc w:val="left"/>
              <w:rPr/>
            </w:pPr>
            <w:r>
              <w:rPr/>
              <w:t>No Other Representations and Warranties</w:t>
            </w:r>
          </w:p>
        </w:tc>
        <w:tc>
          <w:tcPr>
            <w:tcW w:w="320" w:type="dxa"/>
            <w:tcBorders/>
            <w:vAlign w:val="center"/>
          </w:tcPr>
          <w:p>
            <w:pPr>
              <w:pStyle w:val="TableContents"/>
              <w:bidi w:val="0"/>
              <w:spacing w:before="0" w:after="0"/>
              <w:jc w:val="right"/>
              <w:rPr/>
            </w:pPr>
            <w:r>
              <w:rPr/>
              <w:t>41</w:t>
            </w:r>
          </w:p>
        </w:tc>
      </w:tr>
      <w:tr>
        <w:trPr/>
        <w:tc>
          <w:tcPr>
            <w:tcW w:w="9588" w:type="dxa"/>
            <w:gridSpan w:val="3"/>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r>
      <w:tr>
        <w:trPr/>
        <w:tc>
          <w:tcPr>
            <w:tcW w:w="9588" w:type="dxa"/>
            <w:gridSpan w:val="3"/>
            <w:tcBorders/>
            <w:vAlign w:val="center"/>
          </w:tcPr>
          <w:p>
            <w:pPr>
              <w:pStyle w:val="TableContents"/>
              <w:bidi w:val="0"/>
              <w:spacing w:before="0" w:after="0"/>
              <w:jc w:val="left"/>
              <w:rPr/>
            </w:pPr>
            <w:r>
              <w:rPr/>
              <w:t>ARTICLE IV REPRESENTATIONS AND WARRANTIES OF PARENT AND MERGER SUB</w:t>
            </w:r>
          </w:p>
        </w:tc>
        <w:tc>
          <w:tcPr>
            <w:tcW w:w="320" w:type="dxa"/>
            <w:tcBorders/>
            <w:vAlign w:val="center"/>
          </w:tcPr>
          <w:p>
            <w:pPr>
              <w:pStyle w:val="TableContents"/>
              <w:bidi w:val="0"/>
              <w:spacing w:before="0" w:after="0"/>
              <w:jc w:val="right"/>
              <w:rPr/>
            </w:pPr>
            <w:r>
              <w:rPr/>
              <w:t>41</w:t>
            </w:r>
          </w:p>
        </w:tc>
      </w:tr>
      <w:tr>
        <w:trPr/>
        <w:tc>
          <w:tcPr>
            <w:tcW w:w="9588" w:type="dxa"/>
            <w:gridSpan w:val="3"/>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4.1.</w:t>
            </w:r>
          </w:p>
        </w:tc>
        <w:tc>
          <w:tcPr>
            <w:tcW w:w="8229" w:type="dxa"/>
            <w:tcBorders/>
            <w:vAlign w:val="center"/>
          </w:tcPr>
          <w:p>
            <w:pPr>
              <w:pStyle w:val="TableContents"/>
              <w:bidi w:val="0"/>
              <w:spacing w:before="0" w:after="0"/>
              <w:jc w:val="left"/>
              <w:rPr/>
            </w:pPr>
            <w:r>
              <w:rPr/>
              <w:t>Organization and Corporate Power</w:t>
            </w:r>
          </w:p>
        </w:tc>
        <w:tc>
          <w:tcPr>
            <w:tcW w:w="320" w:type="dxa"/>
            <w:tcBorders/>
            <w:vAlign w:val="center"/>
          </w:tcPr>
          <w:p>
            <w:pPr>
              <w:pStyle w:val="TableContents"/>
              <w:bidi w:val="0"/>
              <w:spacing w:before="0" w:after="0"/>
              <w:jc w:val="right"/>
              <w:rPr/>
            </w:pPr>
            <w:r>
              <w:rPr/>
              <w:t>41</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4.2.</w:t>
            </w:r>
          </w:p>
        </w:tc>
        <w:tc>
          <w:tcPr>
            <w:tcW w:w="8229" w:type="dxa"/>
            <w:tcBorders/>
            <w:shd w:fill="CCEEFF" w:val="clear"/>
            <w:vAlign w:val="center"/>
          </w:tcPr>
          <w:p>
            <w:pPr>
              <w:pStyle w:val="TableContents"/>
              <w:bidi w:val="0"/>
              <w:spacing w:before="0" w:after="0"/>
              <w:jc w:val="left"/>
              <w:rPr/>
            </w:pPr>
            <w:r>
              <w:rPr/>
              <w:t>Authorization; Valid and Binding Agreement</w:t>
            </w:r>
          </w:p>
        </w:tc>
        <w:tc>
          <w:tcPr>
            <w:tcW w:w="320" w:type="dxa"/>
            <w:tcBorders/>
            <w:shd w:fill="CCEEFF" w:val="clear"/>
            <w:vAlign w:val="center"/>
          </w:tcPr>
          <w:p>
            <w:pPr>
              <w:pStyle w:val="TableContents"/>
              <w:bidi w:val="0"/>
              <w:spacing w:before="0" w:after="0"/>
              <w:jc w:val="right"/>
              <w:rPr/>
            </w:pPr>
            <w:r>
              <w:rPr/>
              <w:t>41</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4.3.</w:t>
            </w:r>
          </w:p>
        </w:tc>
        <w:tc>
          <w:tcPr>
            <w:tcW w:w="8229" w:type="dxa"/>
            <w:tcBorders/>
            <w:vAlign w:val="center"/>
          </w:tcPr>
          <w:p>
            <w:pPr>
              <w:pStyle w:val="TableContents"/>
              <w:bidi w:val="0"/>
              <w:spacing w:before="0" w:after="0"/>
              <w:jc w:val="left"/>
              <w:rPr/>
            </w:pPr>
            <w:r>
              <w:rPr/>
              <w:t>No Breach</w:t>
            </w:r>
          </w:p>
        </w:tc>
        <w:tc>
          <w:tcPr>
            <w:tcW w:w="320" w:type="dxa"/>
            <w:tcBorders/>
            <w:vAlign w:val="center"/>
          </w:tcPr>
          <w:p>
            <w:pPr>
              <w:pStyle w:val="TableContents"/>
              <w:bidi w:val="0"/>
              <w:spacing w:before="0" w:after="0"/>
              <w:jc w:val="right"/>
              <w:rPr/>
            </w:pPr>
            <w:r>
              <w:rPr/>
              <w:t>42</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4.4.</w:t>
            </w:r>
          </w:p>
        </w:tc>
        <w:tc>
          <w:tcPr>
            <w:tcW w:w="8229" w:type="dxa"/>
            <w:tcBorders/>
            <w:shd w:fill="CCEEFF" w:val="clear"/>
            <w:vAlign w:val="center"/>
          </w:tcPr>
          <w:p>
            <w:pPr>
              <w:pStyle w:val="TableContents"/>
              <w:bidi w:val="0"/>
              <w:spacing w:before="0" w:after="0"/>
              <w:jc w:val="left"/>
              <w:rPr/>
            </w:pPr>
            <w:r>
              <w:rPr/>
              <w:t>Consents</w:t>
            </w:r>
          </w:p>
        </w:tc>
        <w:tc>
          <w:tcPr>
            <w:tcW w:w="320" w:type="dxa"/>
            <w:tcBorders/>
            <w:shd w:fill="CCEEFF" w:val="clear"/>
            <w:vAlign w:val="center"/>
          </w:tcPr>
          <w:p>
            <w:pPr>
              <w:pStyle w:val="TableContents"/>
              <w:bidi w:val="0"/>
              <w:spacing w:before="0" w:after="0"/>
              <w:jc w:val="right"/>
              <w:rPr/>
            </w:pPr>
            <w:r>
              <w:rPr/>
              <w:t>42</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4.5.</w:t>
            </w:r>
          </w:p>
        </w:tc>
        <w:tc>
          <w:tcPr>
            <w:tcW w:w="8229" w:type="dxa"/>
            <w:tcBorders/>
            <w:vAlign w:val="center"/>
          </w:tcPr>
          <w:p>
            <w:pPr>
              <w:pStyle w:val="TableContents"/>
              <w:bidi w:val="0"/>
              <w:spacing w:before="0" w:after="0"/>
              <w:jc w:val="left"/>
              <w:rPr/>
            </w:pPr>
            <w:r>
              <w:rPr/>
              <w:t>Litigation</w:t>
            </w:r>
          </w:p>
        </w:tc>
        <w:tc>
          <w:tcPr>
            <w:tcW w:w="320" w:type="dxa"/>
            <w:tcBorders/>
            <w:vAlign w:val="center"/>
          </w:tcPr>
          <w:p>
            <w:pPr>
              <w:pStyle w:val="TableContents"/>
              <w:bidi w:val="0"/>
              <w:spacing w:before="0" w:after="0"/>
              <w:jc w:val="right"/>
              <w:rPr/>
            </w:pPr>
            <w:r>
              <w:rPr/>
              <w:t>42</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4.6.</w:t>
            </w:r>
          </w:p>
        </w:tc>
        <w:tc>
          <w:tcPr>
            <w:tcW w:w="8229" w:type="dxa"/>
            <w:tcBorders/>
            <w:shd w:fill="CCEEFF" w:val="clear"/>
            <w:vAlign w:val="center"/>
          </w:tcPr>
          <w:p>
            <w:pPr>
              <w:pStyle w:val="TableContents"/>
              <w:bidi w:val="0"/>
              <w:spacing w:before="0" w:after="0"/>
              <w:jc w:val="left"/>
              <w:rPr/>
            </w:pPr>
            <w:r>
              <w:rPr/>
              <w:t>Proxy Statement</w:t>
            </w:r>
          </w:p>
        </w:tc>
        <w:tc>
          <w:tcPr>
            <w:tcW w:w="320" w:type="dxa"/>
            <w:tcBorders/>
            <w:shd w:fill="CCEEFF" w:val="clear"/>
            <w:vAlign w:val="center"/>
          </w:tcPr>
          <w:p>
            <w:pPr>
              <w:pStyle w:val="TableContents"/>
              <w:bidi w:val="0"/>
              <w:spacing w:before="0" w:after="283"/>
              <w:jc w:val="right"/>
              <w:rPr/>
            </w:pPr>
            <w:r>
              <w:rPr/>
              <w:t> </w:t>
            </w:r>
            <w:r>
              <w:rPr/>
              <w:t>42</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4.7.</w:t>
            </w:r>
          </w:p>
        </w:tc>
        <w:tc>
          <w:tcPr>
            <w:tcW w:w="8229" w:type="dxa"/>
            <w:tcBorders/>
            <w:vAlign w:val="center"/>
          </w:tcPr>
          <w:p>
            <w:pPr>
              <w:pStyle w:val="TableContents"/>
              <w:bidi w:val="0"/>
              <w:spacing w:before="0" w:after="0"/>
              <w:jc w:val="left"/>
              <w:rPr/>
            </w:pPr>
            <w:r>
              <w:rPr/>
              <w:t>Brokerage</w:t>
            </w:r>
          </w:p>
        </w:tc>
        <w:tc>
          <w:tcPr>
            <w:tcW w:w="320" w:type="dxa"/>
            <w:tcBorders/>
            <w:vAlign w:val="center"/>
          </w:tcPr>
          <w:p>
            <w:pPr>
              <w:pStyle w:val="TableContents"/>
              <w:bidi w:val="0"/>
              <w:spacing w:before="0" w:after="0"/>
              <w:jc w:val="right"/>
              <w:rPr/>
            </w:pPr>
            <w:r>
              <w:rPr/>
              <w:t>42</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4.8.</w:t>
            </w:r>
          </w:p>
        </w:tc>
        <w:tc>
          <w:tcPr>
            <w:tcW w:w="8229" w:type="dxa"/>
            <w:tcBorders/>
            <w:shd w:fill="CCEEFF" w:val="clear"/>
            <w:vAlign w:val="center"/>
          </w:tcPr>
          <w:p>
            <w:pPr>
              <w:pStyle w:val="TableContents"/>
              <w:bidi w:val="0"/>
              <w:spacing w:before="0" w:after="0"/>
              <w:jc w:val="left"/>
              <w:rPr/>
            </w:pPr>
            <w:r>
              <w:rPr/>
              <w:t>Operations of Merger Sub</w:t>
            </w:r>
          </w:p>
        </w:tc>
        <w:tc>
          <w:tcPr>
            <w:tcW w:w="320" w:type="dxa"/>
            <w:tcBorders/>
            <w:shd w:fill="CCEEFF" w:val="clear"/>
            <w:vAlign w:val="center"/>
          </w:tcPr>
          <w:p>
            <w:pPr>
              <w:pStyle w:val="TableContents"/>
              <w:bidi w:val="0"/>
              <w:spacing w:before="0" w:after="0"/>
              <w:jc w:val="right"/>
              <w:rPr/>
            </w:pPr>
            <w:r>
              <w:rPr/>
              <w:t>43</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4.9.</w:t>
            </w:r>
          </w:p>
        </w:tc>
        <w:tc>
          <w:tcPr>
            <w:tcW w:w="8229" w:type="dxa"/>
            <w:tcBorders/>
            <w:vAlign w:val="center"/>
          </w:tcPr>
          <w:p>
            <w:pPr>
              <w:pStyle w:val="TableContents"/>
              <w:bidi w:val="0"/>
              <w:spacing w:before="0" w:after="0"/>
              <w:jc w:val="left"/>
              <w:rPr/>
            </w:pPr>
            <w:r>
              <w:rPr/>
              <w:t>Ownership of Shares</w:t>
            </w:r>
          </w:p>
        </w:tc>
        <w:tc>
          <w:tcPr>
            <w:tcW w:w="320" w:type="dxa"/>
            <w:tcBorders/>
            <w:vAlign w:val="center"/>
          </w:tcPr>
          <w:p>
            <w:pPr>
              <w:pStyle w:val="TableContents"/>
              <w:bidi w:val="0"/>
              <w:spacing w:before="0" w:after="0"/>
              <w:jc w:val="right"/>
              <w:rPr/>
            </w:pPr>
            <w:r>
              <w:rPr/>
              <w:t>43</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4.10.</w:t>
            </w:r>
          </w:p>
        </w:tc>
        <w:tc>
          <w:tcPr>
            <w:tcW w:w="8229" w:type="dxa"/>
            <w:tcBorders/>
            <w:shd w:fill="CCEEFF" w:val="clear"/>
            <w:vAlign w:val="center"/>
          </w:tcPr>
          <w:p>
            <w:pPr>
              <w:pStyle w:val="TableContents"/>
              <w:bidi w:val="0"/>
              <w:spacing w:before="0" w:after="0"/>
              <w:jc w:val="left"/>
              <w:rPr/>
            </w:pPr>
            <w:r>
              <w:rPr/>
              <w:t>Vote/Approval Required</w:t>
            </w:r>
          </w:p>
        </w:tc>
        <w:tc>
          <w:tcPr>
            <w:tcW w:w="320" w:type="dxa"/>
            <w:tcBorders/>
            <w:shd w:fill="CCEEFF" w:val="clear"/>
            <w:vAlign w:val="center"/>
          </w:tcPr>
          <w:p>
            <w:pPr>
              <w:pStyle w:val="TableContents"/>
              <w:bidi w:val="0"/>
              <w:spacing w:before="0" w:after="0"/>
              <w:jc w:val="right"/>
              <w:rPr/>
            </w:pPr>
            <w:r>
              <w:rPr/>
              <w:t>43</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4.11.</w:t>
            </w:r>
          </w:p>
        </w:tc>
        <w:tc>
          <w:tcPr>
            <w:tcW w:w="8229" w:type="dxa"/>
            <w:tcBorders/>
            <w:vAlign w:val="center"/>
          </w:tcPr>
          <w:p>
            <w:pPr>
              <w:pStyle w:val="TableContents"/>
              <w:bidi w:val="0"/>
              <w:spacing w:before="0" w:after="0"/>
              <w:jc w:val="left"/>
              <w:rPr/>
            </w:pPr>
            <w:r>
              <w:rPr/>
              <w:t>Funds</w:t>
            </w:r>
          </w:p>
        </w:tc>
        <w:tc>
          <w:tcPr>
            <w:tcW w:w="320" w:type="dxa"/>
            <w:tcBorders/>
            <w:vAlign w:val="center"/>
          </w:tcPr>
          <w:p>
            <w:pPr>
              <w:pStyle w:val="TableContents"/>
              <w:bidi w:val="0"/>
              <w:spacing w:before="0" w:after="0"/>
              <w:jc w:val="right"/>
              <w:rPr/>
            </w:pPr>
            <w:r>
              <w:rPr/>
              <w:t>43</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4.12.</w:t>
            </w:r>
          </w:p>
        </w:tc>
        <w:tc>
          <w:tcPr>
            <w:tcW w:w="8229" w:type="dxa"/>
            <w:tcBorders/>
            <w:shd w:fill="CCEEFF" w:val="clear"/>
            <w:vAlign w:val="center"/>
          </w:tcPr>
          <w:p>
            <w:pPr>
              <w:pStyle w:val="TableContents"/>
              <w:bidi w:val="0"/>
              <w:spacing w:before="0" w:after="0"/>
              <w:jc w:val="left"/>
              <w:rPr/>
            </w:pPr>
            <w:r>
              <w:rPr/>
              <w:t>Investment Intention</w:t>
            </w:r>
          </w:p>
        </w:tc>
        <w:tc>
          <w:tcPr>
            <w:tcW w:w="320" w:type="dxa"/>
            <w:tcBorders/>
            <w:shd w:fill="CCEEFF" w:val="clear"/>
            <w:vAlign w:val="center"/>
          </w:tcPr>
          <w:p>
            <w:pPr>
              <w:pStyle w:val="TableContents"/>
              <w:bidi w:val="0"/>
              <w:spacing w:before="0" w:after="0"/>
              <w:jc w:val="right"/>
              <w:rPr/>
            </w:pPr>
            <w:r>
              <w:rPr/>
              <w:t>43</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4.13.</w:t>
            </w:r>
          </w:p>
        </w:tc>
        <w:tc>
          <w:tcPr>
            <w:tcW w:w="8229" w:type="dxa"/>
            <w:tcBorders/>
            <w:vAlign w:val="center"/>
          </w:tcPr>
          <w:p>
            <w:pPr>
              <w:pStyle w:val="TableContents"/>
              <w:bidi w:val="0"/>
              <w:spacing w:before="0" w:after="0"/>
              <w:jc w:val="left"/>
              <w:rPr/>
            </w:pPr>
            <w:r>
              <w:rPr/>
              <w:t>No Other Representations and Warranties</w:t>
            </w:r>
          </w:p>
        </w:tc>
        <w:tc>
          <w:tcPr>
            <w:tcW w:w="320" w:type="dxa"/>
            <w:tcBorders/>
            <w:vAlign w:val="center"/>
          </w:tcPr>
          <w:p>
            <w:pPr>
              <w:pStyle w:val="TableContents"/>
              <w:bidi w:val="0"/>
              <w:spacing w:before="0" w:after="0"/>
              <w:jc w:val="right"/>
              <w:rPr/>
            </w:pPr>
            <w:r>
              <w:rPr/>
              <w:t>44</w:t>
            </w:r>
          </w:p>
        </w:tc>
      </w:tr>
      <w:tr>
        <w:trPr/>
        <w:tc>
          <w:tcPr>
            <w:tcW w:w="9588" w:type="dxa"/>
            <w:gridSpan w:val="3"/>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r>
      <w:tr>
        <w:trPr/>
        <w:tc>
          <w:tcPr>
            <w:tcW w:w="9588" w:type="dxa"/>
            <w:gridSpan w:val="3"/>
            <w:tcBorders/>
            <w:vAlign w:val="center"/>
          </w:tcPr>
          <w:p>
            <w:pPr>
              <w:pStyle w:val="TableContents"/>
              <w:bidi w:val="0"/>
              <w:spacing w:before="0" w:after="0"/>
              <w:jc w:val="left"/>
              <w:rPr/>
            </w:pPr>
            <w:r>
              <w:rPr/>
              <w:t>ARTICLE V COVENANTS</w:t>
            </w:r>
          </w:p>
        </w:tc>
        <w:tc>
          <w:tcPr>
            <w:tcW w:w="320" w:type="dxa"/>
            <w:tcBorders/>
            <w:vAlign w:val="center"/>
          </w:tcPr>
          <w:p>
            <w:pPr>
              <w:pStyle w:val="TableContents"/>
              <w:bidi w:val="0"/>
              <w:spacing w:before="0" w:after="0"/>
              <w:jc w:val="right"/>
              <w:rPr/>
            </w:pPr>
            <w:r>
              <w:rPr/>
              <w:t>45</w:t>
            </w:r>
          </w:p>
        </w:tc>
      </w:tr>
      <w:tr>
        <w:trPr/>
        <w:tc>
          <w:tcPr>
            <w:tcW w:w="9588" w:type="dxa"/>
            <w:gridSpan w:val="3"/>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w:t>
            </w:r>
          </w:p>
        </w:tc>
        <w:tc>
          <w:tcPr>
            <w:tcW w:w="8229" w:type="dxa"/>
            <w:tcBorders/>
            <w:vAlign w:val="center"/>
          </w:tcPr>
          <w:p>
            <w:pPr>
              <w:pStyle w:val="TableContents"/>
              <w:bidi w:val="0"/>
              <w:spacing w:before="0" w:after="0"/>
              <w:jc w:val="left"/>
              <w:rPr/>
            </w:pPr>
            <w:r>
              <w:rPr/>
              <w:t>Covenants of the Company</w:t>
            </w:r>
          </w:p>
        </w:tc>
        <w:tc>
          <w:tcPr>
            <w:tcW w:w="320" w:type="dxa"/>
            <w:tcBorders/>
            <w:vAlign w:val="center"/>
          </w:tcPr>
          <w:p>
            <w:pPr>
              <w:pStyle w:val="TableContents"/>
              <w:bidi w:val="0"/>
              <w:spacing w:before="0" w:after="0"/>
              <w:jc w:val="right"/>
              <w:rPr/>
            </w:pPr>
            <w:r>
              <w:rPr/>
              <w:t>45</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5.2.</w:t>
            </w:r>
          </w:p>
        </w:tc>
        <w:tc>
          <w:tcPr>
            <w:tcW w:w="8229" w:type="dxa"/>
            <w:tcBorders/>
            <w:shd w:fill="CCEEFF" w:val="clear"/>
            <w:vAlign w:val="center"/>
          </w:tcPr>
          <w:p>
            <w:pPr>
              <w:pStyle w:val="TableContents"/>
              <w:bidi w:val="0"/>
              <w:spacing w:before="0" w:after="0"/>
              <w:jc w:val="left"/>
              <w:rPr/>
            </w:pPr>
            <w:r>
              <w:rPr/>
              <w:t>Access to Information; Confidentiality.</w:t>
            </w:r>
          </w:p>
        </w:tc>
        <w:tc>
          <w:tcPr>
            <w:tcW w:w="320" w:type="dxa"/>
            <w:tcBorders/>
            <w:shd w:fill="CCEEFF" w:val="clear"/>
            <w:vAlign w:val="center"/>
          </w:tcPr>
          <w:p>
            <w:pPr>
              <w:pStyle w:val="TableContents"/>
              <w:bidi w:val="0"/>
              <w:spacing w:before="0" w:after="0"/>
              <w:jc w:val="right"/>
              <w:rPr/>
            </w:pPr>
            <w:r>
              <w:rPr/>
              <w:t>49</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5.3.</w:t>
            </w:r>
          </w:p>
        </w:tc>
        <w:tc>
          <w:tcPr>
            <w:tcW w:w="8229" w:type="dxa"/>
            <w:tcBorders/>
            <w:vAlign w:val="center"/>
          </w:tcPr>
          <w:p>
            <w:pPr>
              <w:pStyle w:val="TableContents"/>
              <w:bidi w:val="0"/>
              <w:spacing w:before="0" w:after="0"/>
              <w:jc w:val="left"/>
              <w:rPr/>
            </w:pPr>
            <w:r>
              <w:rPr/>
              <w:t>Acquisition Proposals.</w:t>
            </w:r>
          </w:p>
        </w:tc>
        <w:tc>
          <w:tcPr>
            <w:tcW w:w="320" w:type="dxa"/>
            <w:tcBorders/>
            <w:vAlign w:val="center"/>
          </w:tcPr>
          <w:p>
            <w:pPr>
              <w:pStyle w:val="TableContents"/>
              <w:bidi w:val="0"/>
              <w:spacing w:before="0" w:after="0"/>
              <w:jc w:val="right"/>
              <w:rPr/>
            </w:pPr>
            <w:r>
              <w:rPr/>
              <w:t>50</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5.4.</w:t>
            </w:r>
          </w:p>
        </w:tc>
        <w:tc>
          <w:tcPr>
            <w:tcW w:w="8229" w:type="dxa"/>
            <w:tcBorders/>
            <w:shd w:fill="CCEEFF" w:val="clear"/>
            <w:vAlign w:val="center"/>
          </w:tcPr>
          <w:p>
            <w:pPr>
              <w:pStyle w:val="TableContents"/>
              <w:bidi w:val="0"/>
              <w:spacing w:before="0" w:after="0"/>
              <w:jc w:val="left"/>
              <w:rPr/>
            </w:pPr>
            <w:r>
              <w:rPr/>
              <w:t>Stockholders Meeting; Proxy Statement.</w:t>
            </w:r>
          </w:p>
        </w:tc>
        <w:tc>
          <w:tcPr>
            <w:tcW w:w="320" w:type="dxa"/>
            <w:tcBorders/>
            <w:shd w:fill="CCEEFF" w:val="clear"/>
            <w:vAlign w:val="center"/>
          </w:tcPr>
          <w:p>
            <w:pPr>
              <w:pStyle w:val="TableContents"/>
              <w:bidi w:val="0"/>
              <w:spacing w:before="0" w:after="0"/>
              <w:jc w:val="right"/>
              <w:rPr/>
            </w:pPr>
            <w:r>
              <w:rPr/>
              <w:t>54</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5.5.</w:t>
            </w:r>
          </w:p>
        </w:tc>
        <w:tc>
          <w:tcPr>
            <w:tcW w:w="8229" w:type="dxa"/>
            <w:tcBorders/>
            <w:vAlign w:val="center"/>
          </w:tcPr>
          <w:p>
            <w:pPr>
              <w:pStyle w:val="TableContents"/>
              <w:bidi w:val="0"/>
              <w:spacing w:before="0" w:after="0"/>
              <w:jc w:val="left"/>
              <w:rPr/>
            </w:pPr>
            <w:r>
              <w:rPr/>
              <w:t>Employment and Employee Benefits Matters.</w:t>
            </w:r>
          </w:p>
        </w:tc>
        <w:tc>
          <w:tcPr>
            <w:tcW w:w="320" w:type="dxa"/>
            <w:tcBorders/>
            <w:vAlign w:val="center"/>
          </w:tcPr>
          <w:p>
            <w:pPr>
              <w:pStyle w:val="TableContents"/>
              <w:bidi w:val="0"/>
              <w:spacing w:before="0" w:after="0"/>
              <w:jc w:val="right"/>
              <w:rPr/>
            </w:pPr>
            <w:r>
              <w:rPr/>
              <w:t>56</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5.6.</w:t>
            </w:r>
          </w:p>
        </w:tc>
        <w:tc>
          <w:tcPr>
            <w:tcW w:w="8229" w:type="dxa"/>
            <w:tcBorders/>
            <w:shd w:fill="CCEEFF" w:val="clear"/>
            <w:vAlign w:val="center"/>
          </w:tcPr>
          <w:p>
            <w:pPr>
              <w:pStyle w:val="TableContents"/>
              <w:bidi w:val="0"/>
              <w:spacing w:before="0" w:after="0"/>
              <w:jc w:val="left"/>
              <w:rPr/>
            </w:pPr>
            <w:r>
              <w:rPr/>
              <w:t>Directors’ and Officers’ Indemnification and Insurance.</w:t>
            </w:r>
          </w:p>
        </w:tc>
        <w:tc>
          <w:tcPr>
            <w:tcW w:w="320" w:type="dxa"/>
            <w:tcBorders/>
            <w:shd w:fill="CCEEFF" w:val="clear"/>
            <w:vAlign w:val="center"/>
          </w:tcPr>
          <w:p>
            <w:pPr>
              <w:pStyle w:val="TableContents"/>
              <w:bidi w:val="0"/>
              <w:spacing w:before="0" w:after="0"/>
              <w:jc w:val="right"/>
              <w:rPr/>
            </w:pPr>
            <w:r>
              <w:rPr/>
              <w:t>57</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5.7.</w:t>
            </w:r>
          </w:p>
        </w:tc>
        <w:tc>
          <w:tcPr>
            <w:tcW w:w="8229" w:type="dxa"/>
            <w:tcBorders/>
            <w:vAlign w:val="center"/>
          </w:tcPr>
          <w:p>
            <w:pPr>
              <w:pStyle w:val="TableContents"/>
              <w:bidi w:val="0"/>
              <w:spacing w:before="0" w:after="0"/>
              <w:jc w:val="left"/>
              <w:rPr/>
            </w:pPr>
            <w:r>
              <w:rPr/>
              <w:t>Further Action; Efforts.</w:t>
            </w:r>
          </w:p>
        </w:tc>
        <w:tc>
          <w:tcPr>
            <w:tcW w:w="320" w:type="dxa"/>
            <w:tcBorders/>
            <w:vAlign w:val="center"/>
          </w:tcPr>
          <w:p>
            <w:pPr>
              <w:pStyle w:val="TableContents"/>
              <w:bidi w:val="0"/>
              <w:spacing w:before="0" w:after="0"/>
              <w:jc w:val="right"/>
              <w:rPr/>
            </w:pPr>
            <w:r>
              <w:rPr/>
              <w:t>59</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5.8.</w:t>
            </w:r>
          </w:p>
        </w:tc>
        <w:tc>
          <w:tcPr>
            <w:tcW w:w="8229" w:type="dxa"/>
            <w:tcBorders/>
            <w:shd w:fill="CCEEFF" w:val="clear"/>
            <w:vAlign w:val="center"/>
          </w:tcPr>
          <w:p>
            <w:pPr>
              <w:pStyle w:val="TableContents"/>
              <w:bidi w:val="0"/>
              <w:spacing w:before="0" w:after="0"/>
              <w:jc w:val="left"/>
              <w:rPr/>
            </w:pPr>
            <w:r>
              <w:rPr/>
              <w:t>Public Announcements</w:t>
            </w:r>
          </w:p>
        </w:tc>
        <w:tc>
          <w:tcPr>
            <w:tcW w:w="320" w:type="dxa"/>
            <w:tcBorders/>
            <w:shd w:fill="CCEEFF" w:val="clear"/>
            <w:vAlign w:val="center"/>
          </w:tcPr>
          <w:p>
            <w:pPr>
              <w:pStyle w:val="TableContents"/>
              <w:bidi w:val="0"/>
              <w:spacing w:before="0" w:after="0"/>
              <w:jc w:val="right"/>
              <w:rPr/>
            </w:pPr>
            <w:r>
              <w:rPr/>
              <w:t>61</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5.9.</w:t>
            </w:r>
          </w:p>
        </w:tc>
        <w:tc>
          <w:tcPr>
            <w:tcW w:w="8229" w:type="dxa"/>
            <w:tcBorders/>
            <w:vAlign w:val="center"/>
          </w:tcPr>
          <w:p>
            <w:pPr>
              <w:pStyle w:val="TableContents"/>
              <w:bidi w:val="0"/>
              <w:spacing w:before="0" w:after="0"/>
              <w:jc w:val="left"/>
              <w:rPr/>
            </w:pPr>
            <w:r>
              <w:rPr/>
              <w:t>Approval of Compensation Actions</w:t>
            </w:r>
          </w:p>
        </w:tc>
        <w:tc>
          <w:tcPr>
            <w:tcW w:w="320" w:type="dxa"/>
            <w:tcBorders/>
            <w:vAlign w:val="center"/>
          </w:tcPr>
          <w:p>
            <w:pPr>
              <w:pStyle w:val="TableContents"/>
              <w:bidi w:val="0"/>
              <w:spacing w:before="0" w:after="0"/>
              <w:jc w:val="right"/>
              <w:rPr/>
            </w:pPr>
            <w:r>
              <w:rPr/>
              <w:t>61</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5.10.</w:t>
            </w:r>
          </w:p>
        </w:tc>
        <w:tc>
          <w:tcPr>
            <w:tcW w:w="8229" w:type="dxa"/>
            <w:tcBorders/>
            <w:shd w:fill="CCEEFF" w:val="clear"/>
            <w:vAlign w:val="center"/>
          </w:tcPr>
          <w:p>
            <w:pPr>
              <w:pStyle w:val="TableContents"/>
              <w:bidi w:val="0"/>
              <w:spacing w:before="0" w:after="0"/>
              <w:jc w:val="left"/>
              <w:rPr/>
            </w:pPr>
            <w:r>
              <w:rPr/>
              <w:t>No Control of the Company’s Business</w:t>
            </w:r>
          </w:p>
        </w:tc>
        <w:tc>
          <w:tcPr>
            <w:tcW w:w="320" w:type="dxa"/>
            <w:tcBorders/>
            <w:shd w:fill="CCEEFF" w:val="clear"/>
            <w:vAlign w:val="center"/>
          </w:tcPr>
          <w:p>
            <w:pPr>
              <w:pStyle w:val="TableContents"/>
              <w:bidi w:val="0"/>
              <w:spacing w:before="0" w:after="0"/>
              <w:jc w:val="right"/>
              <w:rPr/>
            </w:pPr>
            <w:r>
              <w:rPr/>
              <w:t>61</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5.11.</w:t>
            </w:r>
          </w:p>
        </w:tc>
        <w:tc>
          <w:tcPr>
            <w:tcW w:w="8229" w:type="dxa"/>
            <w:tcBorders/>
            <w:vAlign w:val="center"/>
          </w:tcPr>
          <w:p>
            <w:pPr>
              <w:pStyle w:val="TableContents"/>
              <w:bidi w:val="0"/>
              <w:spacing w:before="0" w:after="0"/>
              <w:jc w:val="left"/>
              <w:rPr/>
            </w:pPr>
            <w:r>
              <w:rPr/>
              <w:t>Stockholder Litigation</w:t>
            </w:r>
          </w:p>
        </w:tc>
        <w:tc>
          <w:tcPr>
            <w:tcW w:w="320" w:type="dxa"/>
            <w:tcBorders/>
            <w:vAlign w:val="center"/>
          </w:tcPr>
          <w:p>
            <w:pPr>
              <w:pStyle w:val="TableContents"/>
              <w:bidi w:val="0"/>
              <w:spacing w:before="0" w:after="0"/>
              <w:jc w:val="right"/>
              <w:rPr/>
            </w:pPr>
            <w:r>
              <w:rPr/>
              <w:t>62</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5.12.</w:t>
            </w:r>
          </w:p>
        </w:tc>
        <w:tc>
          <w:tcPr>
            <w:tcW w:w="8229" w:type="dxa"/>
            <w:tcBorders/>
            <w:shd w:fill="CCEEFF" w:val="clear"/>
            <w:vAlign w:val="center"/>
          </w:tcPr>
          <w:p>
            <w:pPr>
              <w:pStyle w:val="TableContents"/>
              <w:bidi w:val="0"/>
              <w:spacing w:before="0" w:after="0"/>
              <w:jc w:val="left"/>
              <w:rPr/>
            </w:pPr>
            <w:r>
              <w:rPr/>
              <w:t>Regulatory Matters</w:t>
            </w:r>
          </w:p>
        </w:tc>
        <w:tc>
          <w:tcPr>
            <w:tcW w:w="320" w:type="dxa"/>
            <w:tcBorders/>
            <w:shd w:fill="CCEEFF" w:val="clear"/>
            <w:vAlign w:val="center"/>
          </w:tcPr>
          <w:p>
            <w:pPr>
              <w:pStyle w:val="TableContents"/>
              <w:bidi w:val="0"/>
              <w:spacing w:before="0" w:after="0"/>
              <w:jc w:val="right"/>
              <w:rPr/>
            </w:pPr>
            <w:r>
              <w:rPr/>
              <w:t>62</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5.13.</w:t>
            </w:r>
          </w:p>
        </w:tc>
        <w:tc>
          <w:tcPr>
            <w:tcW w:w="8229" w:type="dxa"/>
            <w:tcBorders/>
            <w:vAlign w:val="center"/>
          </w:tcPr>
          <w:p>
            <w:pPr>
              <w:pStyle w:val="TableContents"/>
              <w:bidi w:val="0"/>
              <w:spacing w:before="0" w:after="0"/>
              <w:jc w:val="left"/>
              <w:rPr/>
            </w:pPr>
            <w:r>
              <w:rPr/>
              <w:t>Cash Management</w:t>
            </w:r>
          </w:p>
        </w:tc>
        <w:tc>
          <w:tcPr>
            <w:tcW w:w="320" w:type="dxa"/>
            <w:tcBorders/>
            <w:vAlign w:val="center"/>
          </w:tcPr>
          <w:p>
            <w:pPr>
              <w:pStyle w:val="TableContents"/>
              <w:bidi w:val="0"/>
              <w:spacing w:before="0" w:after="0"/>
              <w:jc w:val="right"/>
              <w:rPr/>
            </w:pPr>
            <w:r>
              <w:rPr/>
              <w:t>62</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5.14.</w:t>
            </w:r>
          </w:p>
        </w:tc>
        <w:tc>
          <w:tcPr>
            <w:tcW w:w="8229" w:type="dxa"/>
            <w:tcBorders/>
            <w:shd w:fill="CCEEFF" w:val="clear"/>
            <w:vAlign w:val="center"/>
          </w:tcPr>
          <w:p>
            <w:pPr>
              <w:pStyle w:val="TableContents"/>
              <w:bidi w:val="0"/>
              <w:spacing w:before="0" w:after="0"/>
              <w:jc w:val="left"/>
              <w:rPr/>
            </w:pPr>
            <w:r>
              <w:rPr/>
              <w:t>Stock Exchange De-listing</w:t>
            </w:r>
          </w:p>
        </w:tc>
        <w:tc>
          <w:tcPr>
            <w:tcW w:w="320" w:type="dxa"/>
            <w:tcBorders/>
            <w:shd w:fill="CCEEFF" w:val="clear"/>
            <w:vAlign w:val="center"/>
          </w:tcPr>
          <w:p>
            <w:pPr>
              <w:pStyle w:val="TableContents"/>
              <w:bidi w:val="0"/>
              <w:spacing w:before="0" w:after="0"/>
              <w:jc w:val="right"/>
              <w:rPr/>
            </w:pPr>
            <w:r>
              <w:rPr/>
              <w:t>62</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5.15.</w:t>
            </w:r>
          </w:p>
        </w:tc>
        <w:tc>
          <w:tcPr>
            <w:tcW w:w="8229" w:type="dxa"/>
            <w:tcBorders/>
            <w:vAlign w:val="center"/>
          </w:tcPr>
          <w:p>
            <w:pPr>
              <w:pStyle w:val="TableContents"/>
              <w:bidi w:val="0"/>
              <w:spacing w:before="0" w:after="0"/>
              <w:jc w:val="left"/>
              <w:rPr/>
            </w:pPr>
            <w:r>
              <w:rPr/>
              <w:t>Termination of Certain Agreements</w:t>
            </w:r>
          </w:p>
        </w:tc>
        <w:tc>
          <w:tcPr>
            <w:tcW w:w="320" w:type="dxa"/>
            <w:tcBorders/>
            <w:vAlign w:val="center"/>
          </w:tcPr>
          <w:p>
            <w:pPr>
              <w:pStyle w:val="TableContents"/>
              <w:bidi w:val="0"/>
              <w:spacing w:before="0" w:after="0"/>
              <w:jc w:val="right"/>
              <w:rPr/>
            </w:pPr>
            <w:r>
              <w:rPr/>
              <w:t>63</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5.16.</w:t>
            </w:r>
          </w:p>
        </w:tc>
        <w:tc>
          <w:tcPr>
            <w:tcW w:w="8229" w:type="dxa"/>
            <w:tcBorders/>
            <w:shd w:fill="CCEEFF" w:val="clear"/>
            <w:vAlign w:val="center"/>
          </w:tcPr>
          <w:p>
            <w:pPr>
              <w:pStyle w:val="TableContents"/>
              <w:bidi w:val="0"/>
              <w:spacing w:before="0" w:after="0"/>
              <w:jc w:val="left"/>
              <w:rPr/>
            </w:pPr>
            <w:r>
              <w:rPr/>
              <w:t>Termination of Subsidiary Incentive Equity Awards; Wind-Up of HSOP Partnership</w:t>
            </w:r>
          </w:p>
        </w:tc>
        <w:tc>
          <w:tcPr>
            <w:tcW w:w="320" w:type="dxa"/>
            <w:tcBorders/>
            <w:shd w:fill="CCEEFF" w:val="clear"/>
            <w:vAlign w:val="center"/>
          </w:tcPr>
          <w:p>
            <w:pPr>
              <w:pStyle w:val="TableContents"/>
              <w:bidi w:val="0"/>
              <w:spacing w:before="0" w:after="0"/>
              <w:jc w:val="right"/>
              <w:rPr/>
            </w:pPr>
            <w:r>
              <w:rPr/>
              <w:t>63</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5.17.</w:t>
            </w:r>
          </w:p>
        </w:tc>
        <w:tc>
          <w:tcPr>
            <w:tcW w:w="8229" w:type="dxa"/>
            <w:tcBorders/>
            <w:vAlign w:val="center"/>
          </w:tcPr>
          <w:p>
            <w:pPr>
              <w:pStyle w:val="TableContents"/>
              <w:bidi w:val="0"/>
              <w:spacing w:before="0" w:after="0"/>
              <w:jc w:val="left"/>
              <w:rPr/>
            </w:pPr>
            <w:r>
              <w:rPr/>
              <w:t>FIRPTA Certificate</w:t>
            </w:r>
          </w:p>
        </w:tc>
        <w:tc>
          <w:tcPr>
            <w:tcW w:w="320" w:type="dxa"/>
            <w:tcBorders/>
            <w:vAlign w:val="center"/>
          </w:tcPr>
          <w:p>
            <w:pPr>
              <w:pStyle w:val="TableContents"/>
              <w:bidi w:val="0"/>
              <w:spacing w:before="0" w:after="0"/>
              <w:jc w:val="right"/>
              <w:rPr/>
            </w:pPr>
            <w:r>
              <w:rPr/>
              <w:t>64</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5.18.</w:t>
            </w:r>
          </w:p>
        </w:tc>
        <w:tc>
          <w:tcPr>
            <w:tcW w:w="8229" w:type="dxa"/>
            <w:tcBorders/>
            <w:shd w:fill="CCEEFF" w:val="clear"/>
            <w:vAlign w:val="center"/>
          </w:tcPr>
          <w:p>
            <w:pPr>
              <w:pStyle w:val="TableContents"/>
              <w:bidi w:val="0"/>
              <w:spacing w:before="0" w:after="0"/>
              <w:jc w:val="left"/>
              <w:rPr/>
            </w:pPr>
            <w:r>
              <w:rPr/>
              <w:t>Sales Agreement</w:t>
            </w:r>
          </w:p>
        </w:tc>
        <w:tc>
          <w:tcPr>
            <w:tcW w:w="320" w:type="dxa"/>
            <w:tcBorders/>
            <w:shd w:fill="CCEEFF" w:val="clear"/>
            <w:vAlign w:val="center"/>
          </w:tcPr>
          <w:p>
            <w:pPr>
              <w:pStyle w:val="TableContents"/>
              <w:bidi w:val="0"/>
              <w:spacing w:before="0" w:after="0"/>
              <w:jc w:val="right"/>
              <w:rPr/>
            </w:pPr>
            <w:r>
              <w:rPr/>
              <w:t>64</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5.19.</w:t>
            </w:r>
          </w:p>
        </w:tc>
        <w:tc>
          <w:tcPr>
            <w:tcW w:w="8229" w:type="dxa"/>
            <w:tcBorders/>
            <w:vAlign w:val="center"/>
          </w:tcPr>
          <w:p>
            <w:pPr>
              <w:pStyle w:val="TableContents"/>
              <w:bidi w:val="0"/>
              <w:spacing w:before="0" w:after="0"/>
              <w:jc w:val="left"/>
              <w:rPr/>
            </w:pPr>
            <w:r>
              <w:rPr/>
              <w:t>CVR Agreement</w:t>
            </w:r>
          </w:p>
        </w:tc>
        <w:tc>
          <w:tcPr>
            <w:tcW w:w="320" w:type="dxa"/>
            <w:tcBorders/>
            <w:vAlign w:val="center"/>
          </w:tcPr>
          <w:p>
            <w:pPr>
              <w:pStyle w:val="TableContents"/>
              <w:bidi w:val="0"/>
              <w:spacing w:before="0" w:after="0"/>
              <w:jc w:val="right"/>
              <w:rPr/>
            </w:pPr>
            <w:r>
              <w:rPr/>
              <w:t>64</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5.20.</w:t>
            </w:r>
          </w:p>
        </w:tc>
        <w:tc>
          <w:tcPr>
            <w:tcW w:w="8229" w:type="dxa"/>
            <w:tcBorders/>
            <w:shd w:fill="CCEEFF" w:val="clear"/>
            <w:vAlign w:val="center"/>
          </w:tcPr>
          <w:p>
            <w:pPr>
              <w:pStyle w:val="TableContents"/>
              <w:bidi w:val="0"/>
              <w:spacing w:before="0" w:after="0"/>
              <w:jc w:val="left"/>
              <w:rPr/>
            </w:pPr>
            <w:r>
              <w:rPr/>
              <w:t>Entity Management</w:t>
            </w:r>
          </w:p>
        </w:tc>
        <w:tc>
          <w:tcPr>
            <w:tcW w:w="320" w:type="dxa"/>
            <w:tcBorders/>
            <w:shd w:fill="CCEEFF" w:val="clear"/>
            <w:vAlign w:val="center"/>
          </w:tcPr>
          <w:p>
            <w:pPr>
              <w:pStyle w:val="TableContents"/>
              <w:bidi w:val="0"/>
              <w:spacing w:before="0" w:after="0"/>
              <w:jc w:val="right"/>
              <w:rPr/>
            </w:pPr>
            <w:r>
              <w:rPr/>
              <w:t>64</w:t>
            </w:r>
          </w:p>
        </w:tc>
      </w:tr>
      <w:tr>
        <w:trPr/>
        <w:tc>
          <w:tcPr>
            <w:tcW w:w="9588" w:type="dxa"/>
            <w:gridSpan w:val="3"/>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r>
      <w:tr>
        <w:trPr/>
        <w:tc>
          <w:tcPr>
            <w:tcW w:w="9588" w:type="dxa"/>
            <w:gridSpan w:val="3"/>
            <w:tcBorders/>
            <w:shd w:fill="CCEEFF" w:val="clear"/>
            <w:vAlign w:val="center"/>
          </w:tcPr>
          <w:p>
            <w:pPr>
              <w:pStyle w:val="TableContents"/>
              <w:bidi w:val="0"/>
              <w:spacing w:before="0" w:after="0"/>
              <w:jc w:val="left"/>
              <w:rPr/>
            </w:pPr>
            <w:r>
              <w:rPr/>
              <w:t>ARTICLE VI CONDITIONS OF MERGER</w:t>
            </w:r>
          </w:p>
        </w:tc>
        <w:tc>
          <w:tcPr>
            <w:tcW w:w="320" w:type="dxa"/>
            <w:tcBorders/>
            <w:shd w:fill="CCEEFF" w:val="clear"/>
            <w:vAlign w:val="center"/>
          </w:tcPr>
          <w:p>
            <w:pPr>
              <w:pStyle w:val="TableContents"/>
              <w:bidi w:val="0"/>
              <w:spacing w:before="0" w:after="0"/>
              <w:jc w:val="right"/>
              <w:rPr/>
            </w:pPr>
            <w:r>
              <w:rPr/>
              <w:t>64</w:t>
            </w:r>
          </w:p>
        </w:tc>
      </w:tr>
      <w:tr>
        <w:trPr/>
        <w:tc>
          <w:tcPr>
            <w:tcW w:w="9588" w:type="dxa"/>
            <w:gridSpan w:val="3"/>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6.1.</w:t>
            </w:r>
          </w:p>
        </w:tc>
        <w:tc>
          <w:tcPr>
            <w:tcW w:w="8229" w:type="dxa"/>
            <w:tcBorders/>
            <w:shd w:fill="CCEEFF" w:val="clear"/>
            <w:vAlign w:val="center"/>
          </w:tcPr>
          <w:p>
            <w:pPr>
              <w:pStyle w:val="TableContents"/>
              <w:bidi w:val="0"/>
              <w:spacing w:before="0" w:after="0"/>
              <w:jc w:val="left"/>
              <w:rPr/>
            </w:pPr>
            <w:r>
              <w:rPr/>
              <w:t>Conditions to Obligation of Each Party to Effect the Merger</w:t>
            </w:r>
          </w:p>
        </w:tc>
        <w:tc>
          <w:tcPr>
            <w:tcW w:w="320" w:type="dxa"/>
            <w:tcBorders/>
            <w:shd w:fill="CCEEFF" w:val="clear"/>
            <w:vAlign w:val="center"/>
          </w:tcPr>
          <w:p>
            <w:pPr>
              <w:pStyle w:val="TableContents"/>
              <w:bidi w:val="0"/>
              <w:spacing w:before="0" w:after="0"/>
              <w:jc w:val="right"/>
              <w:rPr/>
            </w:pPr>
            <w:r>
              <w:rPr/>
              <w:t>64</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6.2.</w:t>
            </w:r>
          </w:p>
        </w:tc>
        <w:tc>
          <w:tcPr>
            <w:tcW w:w="8229" w:type="dxa"/>
            <w:tcBorders/>
            <w:vAlign w:val="center"/>
          </w:tcPr>
          <w:p>
            <w:pPr>
              <w:pStyle w:val="TableContents"/>
              <w:bidi w:val="0"/>
              <w:spacing w:before="0" w:after="0"/>
              <w:jc w:val="left"/>
              <w:rPr/>
            </w:pPr>
            <w:r>
              <w:rPr/>
              <w:t>Conditions to Obligation of Parent and Merger Sub to Effect the Merger</w:t>
            </w:r>
          </w:p>
        </w:tc>
        <w:tc>
          <w:tcPr>
            <w:tcW w:w="320" w:type="dxa"/>
            <w:tcBorders/>
            <w:vAlign w:val="center"/>
          </w:tcPr>
          <w:p>
            <w:pPr>
              <w:pStyle w:val="TableContents"/>
              <w:bidi w:val="0"/>
              <w:spacing w:before="0" w:after="0"/>
              <w:jc w:val="right"/>
              <w:rPr/>
            </w:pPr>
            <w:r>
              <w:rPr/>
              <w:t>64</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6.3.</w:t>
            </w:r>
          </w:p>
        </w:tc>
        <w:tc>
          <w:tcPr>
            <w:tcW w:w="8229" w:type="dxa"/>
            <w:tcBorders/>
            <w:shd w:fill="CCEEFF" w:val="clear"/>
            <w:vAlign w:val="center"/>
          </w:tcPr>
          <w:p>
            <w:pPr>
              <w:pStyle w:val="TableContents"/>
              <w:bidi w:val="0"/>
              <w:spacing w:before="0" w:after="0"/>
              <w:jc w:val="left"/>
              <w:rPr/>
            </w:pPr>
            <w:r>
              <w:rPr/>
              <w:t>Conditions to Obligation of Company to Effect the Merger</w:t>
            </w:r>
          </w:p>
        </w:tc>
        <w:tc>
          <w:tcPr>
            <w:tcW w:w="320" w:type="dxa"/>
            <w:tcBorders/>
            <w:shd w:fill="CCEEFF" w:val="clear"/>
            <w:vAlign w:val="center"/>
          </w:tcPr>
          <w:p>
            <w:pPr>
              <w:pStyle w:val="TableContents"/>
              <w:bidi w:val="0"/>
              <w:spacing w:before="0" w:after="0"/>
              <w:jc w:val="right"/>
              <w:rPr/>
            </w:pPr>
            <w:r>
              <w:rPr/>
              <w:t>66</w:t>
            </w:r>
          </w:p>
        </w:tc>
      </w:tr>
      <w:tr>
        <w:trPr/>
        <w:tc>
          <w:tcPr>
            <w:tcW w:w="9588" w:type="dxa"/>
            <w:gridSpan w:val="3"/>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r>
      <w:tr>
        <w:trPr/>
        <w:tc>
          <w:tcPr>
            <w:tcW w:w="9588" w:type="dxa"/>
            <w:gridSpan w:val="3"/>
            <w:tcBorders/>
            <w:shd w:fill="CCEEFF" w:val="clear"/>
            <w:vAlign w:val="center"/>
          </w:tcPr>
          <w:p>
            <w:pPr>
              <w:pStyle w:val="TableContents"/>
              <w:bidi w:val="0"/>
              <w:spacing w:before="0" w:after="0"/>
              <w:jc w:val="left"/>
              <w:rPr/>
            </w:pPr>
            <w:r>
              <w:rPr/>
              <w:t>ARTICLE VII TERMINATION, AMENDMENT AND WAIVER</w:t>
            </w:r>
          </w:p>
        </w:tc>
        <w:tc>
          <w:tcPr>
            <w:tcW w:w="320" w:type="dxa"/>
            <w:tcBorders/>
            <w:shd w:fill="CCEEFF" w:val="clear"/>
            <w:vAlign w:val="center"/>
          </w:tcPr>
          <w:p>
            <w:pPr>
              <w:pStyle w:val="TableContents"/>
              <w:bidi w:val="0"/>
              <w:spacing w:before="0" w:after="0"/>
              <w:jc w:val="right"/>
              <w:rPr/>
            </w:pPr>
            <w:r>
              <w:rPr/>
              <w:t>66</w:t>
            </w:r>
          </w:p>
        </w:tc>
      </w:tr>
      <w:tr>
        <w:trPr/>
        <w:tc>
          <w:tcPr>
            <w:tcW w:w="9588" w:type="dxa"/>
            <w:gridSpan w:val="3"/>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7.1.</w:t>
            </w:r>
          </w:p>
        </w:tc>
        <w:tc>
          <w:tcPr>
            <w:tcW w:w="8229" w:type="dxa"/>
            <w:tcBorders/>
            <w:shd w:fill="CCEEFF" w:val="clear"/>
            <w:vAlign w:val="center"/>
          </w:tcPr>
          <w:p>
            <w:pPr>
              <w:pStyle w:val="TableContents"/>
              <w:bidi w:val="0"/>
              <w:spacing w:before="0" w:after="0"/>
              <w:jc w:val="left"/>
              <w:rPr/>
            </w:pPr>
            <w:r>
              <w:rPr/>
              <w:t>Termination by Mutual Agreement</w:t>
            </w:r>
          </w:p>
        </w:tc>
        <w:tc>
          <w:tcPr>
            <w:tcW w:w="320" w:type="dxa"/>
            <w:tcBorders/>
            <w:shd w:fill="CCEEFF" w:val="clear"/>
            <w:vAlign w:val="center"/>
          </w:tcPr>
          <w:p>
            <w:pPr>
              <w:pStyle w:val="TableContents"/>
              <w:bidi w:val="0"/>
              <w:spacing w:before="0" w:after="0"/>
              <w:jc w:val="right"/>
              <w:rPr/>
            </w:pPr>
            <w:r>
              <w:rPr/>
              <w:t>66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tbl>
      <w:tblPr>
        <w:tblW w:w="8580" w:type="dxa"/>
        <w:jc w:val="left"/>
        <w:tblInd w:w="0" w:type="dxa"/>
        <w:tblLayout w:type="fixed"/>
        <w:tblCellMar>
          <w:top w:w="0" w:type="dxa"/>
          <w:left w:w="0" w:type="dxa"/>
          <w:bottom w:w="0" w:type="dxa"/>
          <w:right w:w="0" w:type="dxa"/>
        </w:tblCellMar>
      </w:tblPr>
      <w:tblGrid>
        <w:gridCol w:w="60"/>
        <w:gridCol w:w="1265"/>
        <w:gridCol w:w="6995"/>
        <w:gridCol w:w="260"/>
      </w:tblGrid>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7.2.</w:t>
            </w:r>
          </w:p>
        </w:tc>
        <w:tc>
          <w:tcPr>
            <w:tcW w:w="6995" w:type="dxa"/>
            <w:tcBorders/>
            <w:shd w:fill="CCEEFF" w:val="clear"/>
            <w:vAlign w:val="center"/>
          </w:tcPr>
          <w:p>
            <w:pPr>
              <w:pStyle w:val="TableContents"/>
              <w:bidi w:val="0"/>
              <w:spacing w:before="0" w:after="0"/>
              <w:jc w:val="left"/>
              <w:rPr/>
            </w:pPr>
            <w:r>
              <w:rPr/>
              <w:t>Termination by Either Parent or the Company</w:t>
            </w:r>
          </w:p>
        </w:tc>
        <w:tc>
          <w:tcPr>
            <w:tcW w:w="260" w:type="dxa"/>
            <w:tcBorders/>
            <w:shd w:fill="CCEEFF" w:val="clear"/>
            <w:vAlign w:val="center"/>
          </w:tcPr>
          <w:p>
            <w:pPr>
              <w:pStyle w:val="TableContents"/>
              <w:bidi w:val="0"/>
              <w:spacing w:before="0" w:after="0"/>
              <w:jc w:val="right"/>
              <w:rPr/>
            </w:pPr>
            <w:r>
              <w:rPr/>
              <w:t>66</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7.3.</w:t>
            </w:r>
          </w:p>
        </w:tc>
        <w:tc>
          <w:tcPr>
            <w:tcW w:w="6995" w:type="dxa"/>
            <w:tcBorders/>
            <w:vAlign w:val="center"/>
          </w:tcPr>
          <w:p>
            <w:pPr>
              <w:pStyle w:val="TableContents"/>
              <w:bidi w:val="0"/>
              <w:spacing w:before="0" w:after="0"/>
              <w:jc w:val="left"/>
              <w:rPr/>
            </w:pPr>
            <w:r>
              <w:rPr/>
              <w:t>Termination by the Company</w:t>
            </w:r>
          </w:p>
        </w:tc>
        <w:tc>
          <w:tcPr>
            <w:tcW w:w="260" w:type="dxa"/>
            <w:tcBorders/>
            <w:vAlign w:val="center"/>
          </w:tcPr>
          <w:p>
            <w:pPr>
              <w:pStyle w:val="TableContents"/>
              <w:bidi w:val="0"/>
              <w:spacing w:before="0" w:after="0"/>
              <w:jc w:val="right"/>
              <w:rPr/>
            </w:pPr>
            <w:r>
              <w:rPr/>
              <w:t>67</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7.4.</w:t>
            </w:r>
          </w:p>
        </w:tc>
        <w:tc>
          <w:tcPr>
            <w:tcW w:w="6995" w:type="dxa"/>
            <w:tcBorders/>
            <w:shd w:fill="CCEEFF" w:val="clear"/>
            <w:vAlign w:val="center"/>
          </w:tcPr>
          <w:p>
            <w:pPr>
              <w:pStyle w:val="TableContents"/>
              <w:bidi w:val="0"/>
              <w:spacing w:before="0" w:after="0"/>
              <w:jc w:val="left"/>
              <w:rPr/>
            </w:pPr>
            <w:r>
              <w:rPr/>
              <w:t>Termination by Parent</w:t>
            </w:r>
          </w:p>
        </w:tc>
        <w:tc>
          <w:tcPr>
            <w:tcW w:w="260" w:type="dxa"/>
            <w:tcBorders/>
            <w:shd w:fill="CCEEFF" w:val="clear"/>
            <w:vAlign w:val="center"/>
          </w:tcPr>
          <w:p>
            <w:pPr>
              <w:pStyle w:val="TableContents"/>
              <w:bidi w:val="0"/>
              <w:spacing w:before="0" w:after="0"/>
              <w:jc w:val="right"/>
              <w:rPr/>
            </w:pPr>
            <w:r>
              <w:rPr/>
              <w:t>67</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7.5.</w:t>
            </w:r>
          </w:p>
        </w:tc>
        <w:tc>
          <w:tcPr>
            <w:tcW w:w="6995" w:type="dxa"/>
            <w:tcBorders/>
            <w:vAlign w:val="center"/>
          </w:tcPr>
          <w:p>
            <w:pPr>
              <w:pStyle w:val="TableContents"/>
              <w:bidi w:val="0"/>
              <w:spacing w:before="0" w:after="0"/>
              <w:jc w:val="left"/>
              <w:rPr/>
            </w:pPr>
            <w:r>
              <w:rPr/>
              <w:t>Effect of Termination</w:t>
            </w:r>
          </w:p>
        </w:tc>
        <w:tc>
          <w:tcPr>
            <w:tcW w:w="260" w:type="dxa"/>
            <w:tcBorders/>
            <w:vAlign w:val="center"/>
          </w:tcPr>
          <w:p>
            <w:pPr>
              <w:pStyle w:val="TableContents"/>
              <w:bidi w:val="0"/>
              <w:spacing w:before="0" w:after="0"/>
              <w:jc w:val="right"/>
              <w:rPr/>
            </w:pPr>
            <w:r>
              <w:rPr/>
              <w:t>68</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7.6.</w:t>
            </w:r>
          </w:p>
        </w:tc>
        <w:tc>
          <w:tcPr>
            <w:tcW w:w="6995" w:type="dxa"/>
            <w:tcBorders/>
            <w:shd w:fill="CCEEFF" w:val="clear"/>
            <w:vAlign w:val="center"/>
          </w:tcPr>
          <w:p>
            <w:pPr>
              <w:pStyle w:val="TableContents"/>
              <w:bidi w:val="0"/>
              <w:spacing w:before="0" w:after="0"/>
              <w:jc w:val="left"/>
              <w:rPr/>
            </w:pPr>
            <w:r>
              <w:rPr/>
              <w:t>Expenses</w:t>
            </w:r>
          </w:p>
        </w:tc>
        <w:tc>
          <w:tcPr>
            <w:tcW w:w="260" w:type="dxa"/>
            <w:tcBorders/>
            <w:shd w:fill="CCEEFF" w:val="clear"/>
            <w:vAlign w:val="center"/>
          </w:tcPr>
          <w:p>
            <w:pPr>
              <w:pStyle w:val="TableContents"/>
              <w:bidi w:val="0"/>
              <w:spacing w:before="0" w:after="283"/>
              <w:jc w:val="right"/>
              <w:rPr/>
            </w:pPr>
            <w:r>
              <w:rPr/>
              <w:t>69</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7.7.</w:t>
            </w:r>
          </w:p>
        </w:tc>
        <w:tc>
          <w:tcPr>
            <w:tcW w:w="6995" w:type="dxa"/>
            <w:tcBorders/>
            <w:vAlign w:val="center"/>
          </w:tcPr>
          <w:p>
            <w:pPr>
              <w:pStyle w:val="TableContents"/>
              <w:bidi w:val="0"/>
              <w:spacing w:before="0" w:after="0"/>
              <w:jc w:val="left"/>
              <w:rPr/>
            </w:pPr>
            <w:r>
              <w:rPr/>
              <w:t>Amendment and Waiver</w:t>
            </w:r>
          </w:p>
        </w:tc>
        <w:tc>
          <w:tcPr>
            <w:tcW w:w="260" w:type="dxa"/>
            <w:tcBorders/>
            <w:vAlign w:val="center"/>
          </w:tcPr>
          <w:p>
            <w:pPr>
              <w:pStyle w:val="TableContents"/>
              <w:bidi w:val="0"/>
              <w:spacing w:before="0" w:after="283"/>
              <w:jc w:val="right"/>
              <w:rPr/>
            </w:pPr>
            <w:r>
              <w:rPr/>
              <w:t>69</w:t>
            </w:r>
          </w:p>
        </w:tc>
      </w:tr>
      <w:tr>
        <w:trPr/>
        <w:tc>
          <w:tcPr>
            <w:tcW w:w="8320"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8320" w:type="dxa"/>
            <w:gridSpan w:val="3"/>
            <w:tcBorders/>
            <w:vAlign w:val="center"/>
          </w:tcPr>
          <w:p>
            <w:pPr>
              <w:pStyle w:val="TableContents"/>
              <w:bidi w:val="0"/>
              <w:spacing w:before="0" w:after="0"/>
              <w:jc w:val="left"/>
              <w:rPr/>
            </w:pPr>
            <w:r>
              <w:rPr/>
              <w:t>ARTICLE VIII GENERAL PROVISIONS</w:t>
            </w:r>
          </w:p>
        </w:tc>
        <w:tc>
          <w:tcPr>
            <w:tcW w:w="260" w:type="dxa"/>
            <w:tcBorders/>
            <w:vAlign w:val="center"/>
          </w:tcPr>
          <w:p>
            <w:pPr>
              <w:pStyle w:val="TableContents"/>
              <w:bidi w:val="0"/>
              <w:spacing w:before="0" w:after="283"/>
              <w:jc w:val="right"/>
              <w:rPr/>
            </w:pPr>
            <w:r>
              <w:rPr/>
              <w:t>69</w:t>
            </w:r>
          </w:p>
        </w:tc>
      </w:tr>
      <w:tr>
        <w:trPr/>
        <w:tc>
          <w:tcPr>
            <w:tcW w:w="8320"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8.1.</w:t>
            </w:r>
          </w:p>
        </w:tc>
        <w:tc>
          <w:tcPr>
            <w:tcW w:w="6995" w:type="dxa"/>
            <w:tcBorders/>
            <w:vAlign w:val="center"/>
          </w:tcPr>
          <w:p>
            <w:pPr>
              <w:pStyle w:val="TableContents"/>
              <w:bidi w:val="0"/>
              <w:spacing w:before="0" w:after="0"/>
              <w:jc w:val="left"/>
              <w:rPr/>
            </w:pPr>
            <w:r>
              <w:rPr/>
              <w:t>Non-Survival of Representations, Warranties, Covenants and Agreements</w:t>
            </w:r>
          </w:p>
        </w:tc>
        <w:tc>
          <w:tcPr>
            <w:tcW w:w="260" w:type="dxa"/>
            <w:tcBorders/>
            <w:vAlign w:val="center"/>
          </w:tcPr>
          <w:p>
            <w:pPr>
              <w:pStyle w:val="TableContents"/>
              <w:bidi w:val="0"/>
              <w:spacing w:before="0" w:after="283"/>
              <w:jc w:val="right"/>
              <w:rPr/>
            </w:pPr>
            <w:r>
              <w:rPr/>
              <w:t>69</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8.2.</w:t>
            </w:r>
          </w:p>
        </w:tc>
        <w:tc>
          <w:tcPr>
            <w:tcW w:w="6995" w:type="dxa"/>
            <w:tcBorders/>
            <w:shd w:fill="CCEEFF" w:val="clear"/>
            <w:vAlign w:val="center"/>
          </w:tcPr>
          <w:p>
            <w:pPr>
              <w:pStyle w:val="TableContents"/>
              <w:bidi w:val="0"/>
              <w:spacing w:before="0" w:after="0"/>
              <w:jc w:val="left"/>
              <w:rPr/>
            </w:pPr>
            <w:r>
              <w:rPr/>
              <w:t>Notices</w:t>
            </w:r>
          </w:p>
        </w:tc>
        <w:tc>
          <w:tcPr>
            <w:tcW w:w="260" w:type="dxa"/>
            <w:tcBorders/>
            <w:shd w:fill="CCEEFF" w:val="clear"/>
            <w:vAlign w:val="center"/>
          </w:tcPr>
          <w:p>
            <w:pPr>
              <w:pStyle w:val="TableContents"/>
              <w:bidi w:val="0"/>
              <w:spacing w:before="0" w:after="0"/>
              <w:jc w:val="right"/>
              <w:rPr/>
            </w:pPr>
            <w:r>
              <w:rPr/>
              <w:t>70</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8.3.</w:t>
            </w:r>
          </w:p>
        </w:tc>
        <w:tc>
          <w:tcPr>
            <w:tcW w:w="6995" w:type="dxa"/>
            <w:tcBorders/>
            <w:vAlign w:val="center"/>
          </w:tcPr>
          <w:p>
            <w:pPr>
              <w:pStyle w:val="TableContents"/>
              <w:bidi w:val="0"/>
              <w:spacing w:before="0" w:after="0"/>
              <w:jc w:val="left"/>
              <w:rPr/>
            </w:pPr>
            <w:r>
              <w:rPr/>
              <w:t>Certain Definitions</w:t>
            </w:r>
          </w:p>
        </w:tc>
        <w:tc>
          <w:tcPr>
            <w:tcW w:w="260" w:type="dxa"/>
            <w:tcBorders/>
            <w:vAlign w:val="center"/>
          </w:tcPr>
          <w:p>
            <w:pPr>
              <w:pStyle w:val="TableContents"/>
              <w:bidi w:val="0"/>
              <w:spacing w:before="0" w:after="0"/>
              <w:jc w:val="right"/>
              <w:rPr/>
            </w:pPr>
            <w:r>
              <w:rPr/>
              <w:t>71</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8.4.</w:t>
            </w:r>
          </w:p>
        </w:tc>
        <w:tc>
          <w:tcPr>
            <w:tcW w:w="6995" w:type="dxa"/>
            <w:tcBorders/>
            <w:shd w:fill="CCEEFF" w:val="clear"/>
            <w:vAlign w:val="center"/>
          </w:tcPr>
          <w:p>
            <w:pPr>
              <w:pStyle w:val="TableContents"/>
              <w:bidi w:val="0"/>
              <w:spacing w:before="0" w:after="0"/>
              <w:jc w:val="left"/>
              <w:rPr/>
            </w:pPr>
            <w:r>
              <w:rPr/>
              <w:t>Terms Defined Elsewhere</w:t>
            </w:r>
          </w:p>
        </w:tc>
        <w:tc>
          <w:tcPr>
            <w:tcW w:w="260" w:type="dxa"/>
            <w:tcBorders/>
            <w:shd w:fill="CCEEFF" w:val="clear"/>
            <w:vAlign w:val="center"/>
          </w:tcPr>
          <w:p>
            <w:pPr>
              <w:pStyle w:val="TableContents"/>
              <w:bidi w:val="0"/>
              <w:spacing w:before="0" w:after="0"/>
              <w:jc w:val="right"/>
              <w:rPr/>
            </w:pPr>
            <w:r>
              <w:rPr/>
              <w:t>85</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8.5.</w:t>
            </w:r>
          </w:p>
        </w:tc>
        <w:tc>
          <w:tcPr>
            <w:tcW w:w="6995" w:type="dxa"/>
            <w:tcBorders/>
            <w:vAlign w:val="center"/>
          </w:tcPr>
          <w:p>
            <w:pPr>
              <w:pStyle w:val="TableContents"/>
              <w:bidi w:val="0"/>
              <w:spacing w:before="0" w:after="0"/>
              <w:jc w:val="left"/>
              <w:rPr/>
            </w:pPr>
            <w:r>
              <w:rPr/>
              <w:t>Severability</w:t>
            </w:r>
          </w:p>
        </w:tc>
        <w:tc>
          <w:tcPr>
            <w:tcW w:w="260" w:type="dxa"/>
            <w:tcBorders/>
            <w:vAlign w:val="center"/>
          </w:tcPr>
          <w:p>
            <w:pPr>
              <w:pStyle w:val="TableContents"/>
              <w:bidi w:val="0"/>
              <w:spacing w:before="0" w:after="0"/>
              <w:jc w:val="right"/>
              <w:rPr/>
            </w:pPr>
            <w:r>
              <w:rPr/>
              <w:t>87</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8.6.</w:t>
            </w:r>
          </w:p>
        </w:tc>
        <w:tc>
          <w:tcPr>
            <w:tcW w:w="6995" w:type="dxa"/>
            <w:tcBorders/>
            <w:shd w:fill="CCEEFF" w:val="clear"/>
            <w:vAlign w:val="center"/>
          </w:tcPr>
          <w:p>
            <w:pPr>
              <w:pStyle w:val="TableContents"/>
              <w:bidi w:val="0"/>
              <w:spacing w:before="0" w:after="0"/>
              <w:jc w:val="left"/>
              <w:rPr/>
            </w:pPr>
            <w:r>
              <w:rPr/>
              <w:t>Assignment</w:t>
            </w:r>
          </w:p>
        </w:tc>
        <w:tc>
          <w:tcPr>
            <w:tcW w:w="260" w:type="dxa"/>
            <w:tcBorders/>
            <w:shd w:fill="CCEEFF" w:val="clear"/>
            <w:vAlign w:val="center"/>
          </w:tcPr>
          <w:p>
            <w:pPr>
              <w:pStyle w:val="TableContents"/>
              <w:bidi w:val="0"/>
              <w:spacing w:before="0" w:after="0"/>
              <w:jc w:val="right"/>
              <w:rPr/>
            </w:pPr>
            <w:r>
              <w:rPr/>
              <w:t>87</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8.7.</w:t>
            </w:r>
          </w:p>
        </w:tc>
        <w:tc>
          <w:tcPr>
            <w:tcW w:w="6995" w:type="dxa"/>
            <w:tcBorders/>
            <w:vAlign w:val="center"/>
          </w:tcPr>
          <w:p>
            <w:pPr>
              <w:pStyle w:val="TableContents"/>
              <w:bidi w:val="0"/>
              <w:spacing w:before="0" w:after="0"/>
              <w:jc w:val="left"/>
              <w:rPr/>
            </w:pPr>
            <w:r>
              <w:rPr/>
              <w:t>Entire Agreement; Third-Party Beneficiaries</w:t>
            </w:r>
          </w:p>
        </w:tc>
        <w:tc>
          <w:tcPr>
            <w:tcW w:w="260" w:type="dxa"/>
            <w:tcBorders/>
            <w:vAlign w:val="center"/>
          </w:tcPr>
          <w:p>
            <w:pPr>
              <w:pStyle w:val="TableContents"/>
              <w:bidi w:val="0"/>
              <w:spacing w:before="0" w:after="0"/>
              <w:jc w:val="right"/>
              <w:rPr/>
            </w:pPr>
            <w:r>
              <w:rPr/>
              <w:t>88</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8.8.</w:t>
            </w:r>
          </w:p>
        </w:tc>
        <w:tc>
          <w:tcPr>
            <w:tcW w:w="6995" w:type="dxa"/>
            <w:tcBorders/>
            <w:shd w:fill="CCEEFF" w:val="clear"/>
            <w:vAlign w:val="center"/>
          </w:tcPr>
          <w:p>
            <w:pPr>
              <w:pStyle w:val="TableContents"/>
              <w:bidi w:val="0"/>
              <w:spacing w:before="0" w:after="0"/>
              <w:jc w:val="left"/>
              <w:rPr/>
            </w:pPr>
            <w:r>
              <w:rPr/>
              <w:t>Governing Law</w:t>
            </w:r>
          </w:p>
        </w:tc>
        <w:tc>
          <w:tcPr>
            <w:tcW w:w="260" w:type="dxa"/>
            <w:tcBorders/>
            <w:shd w:fill="CCEEFF" w:val="clear"/>
            <w:vAlign w:val="center"/>
          </w:tcPr>
          <w:p>
            <w:pPr>
              <w:pStyle w:val="TableContents"/>
              <w:bidi w:val="0"/>
              <w:spacing w:before="0" w:after="0"/>
              <w:jc w:val="right"/>
              <w:rPr/>
            </w:pPr>
            <w:r>
              <w:rPr/>
              <w:t>88</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8.9.</w:t>
            </w:r>
          </w:p>
        </w:tc>
        <w:tc>
          <w:tcPr>
            <w:tcW w:w="6995" w:type="dxa"/>
            <w:tcBorders/>
            <w:vAlign w:val="center"/>
          </w:tcPr>
          <w:p>
            <w:pPr>
              <w:pStyle w:val="TableContents"/>
              <w:bidi w:val="0"/>
              <w:spacing w:before="0" w:after="0"/>
              <w:jc w:val="left"/>
              <w:rPr/>
            </w:pPr>
            <w:r>
              <w:rPr/>
              <w:t>Headings</w:t>
            </w:r>
          </w:p>
        </w:tc>
        <w:tc>
          <w:tcPr>
            <w:tcW w:w="260" w:type="dxa"/>
            <w:tcBorders/>
            <w:vAlign w:val="center"/>
          </w:tcPr>
          <w:p>
            <w:pPr>
              <w:pStyle w:val="TableContents"/>
              <w:bidi w:val="0"/>
              <w:spacing w:before="0" w:after="0"/>
              <w:jc w:val="right"/>
              <w:rPr/>
            </w:pPr>
            <w:r>
              <w:rPr/>
              <w:t>88</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8.10.</w:t>
            </w:r>
          </w:p>
        </w:tc>
        <w:tc>
          <w:tcPr>
            <w:tcW w:w="6995" w:type="dxa"/>
            <w:tcBorders/>
            <w:shd w:fill="CCEEFF" w:val="clear"/>
            <w:vAlign w:val="center"/>
          </w:tcPr>
          <w:p>
            <w:pPr>
              <w:pStyle w:val="TableContents"/>
              <w:bidi w:val="0"/>
              <w:spacing w:before="0" w:after="0"/>
              <w:jc w:val="left"/>
              <w:rPr/>
            </w:pPr>
            <w:r>
              <w:rPr/>
              <w:t>Counterparts</w:t>
            </w:r>
          </w:p>
        </w:tc>
        <w:tc>
          <w:tcPr>
            <w:tcW w:w="260" w:type="dxa"/>
            <w:tcBorders/>
            <w:shd w:fill="CCEEFF" w:val="clear"/>
            <w:vAlign w:val="center"/>
          </w:tcPr>
          <w:p>
            <w:pPr>
              <w:pStyle w:val="TableContents"/>
              <w:bidi w:val="0"/>
              <w:spacing w:before="0" w:after="0"/>
              <w:jc w:val="right"/>
              <w:rPr/>
            </w:pPr>
            <w:r>
              <w:rPr/>
              <w:t>88</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8.11.</w:t>
            </w:r>
          </w:p>
        </w:tc>
        <w:tc>
          <w:tcPr>
            <w:tcW w:w="6995" w:type="dxa"/>
            <w:tcBorders/>
            <w:vAlign w:val="center"/>
          </w:tcPr>
          <w:p>
            <w:pPr>
              <w:pStyle w:val="TableContents"/>
              <w:bidi w:val="0"/>
              <w:spacing w:before="0" w:after="0"/>
              <w:jc w:val="left"/>
              <w:rPr/>
            </w:pPr>
            <w:r>
              <w:rPr/>
              <w:t>Performance Guaranty</w:t>
            </w:r>
          </w:p>
        </w:tc>
        <w:tc>
          <w:tcPr>
            <w:tcW w:w="260" w:type="dxa"/>
            <w:tcBorders/>
            <w:vAlign w:val="center"/>
          </w:tcPr>
          <w:p>
            <w:pPr>
              <w:pStyle w:val="TableContents"/>
              <w:bidi w:val="0"/>
              <w:spacing w:before="0" w:after="0"/>
              <w:jc w:val="right"/>
              <w:rPr/>
            </w:pPr>
            <w:r>
              <w:rPr/>
              <w:t>88</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8.12.</w:t>
            </w:r>
          </w:p>
        </w:tc>
        <w:tc>
          <w:tcPr>
            <w:tcW w:w="6995" w:type="dxa"/>
            <w:tcBorders/>
            <w:shd w:fill="CCEEFF" w:val="clear"/>
            <w:vAlign w:val="center"/>
          </w:tcPr>
          <w:p>
            <w:pPr>
              <w:pStyle w:val="TableContents"/>
              <w:bidi w:val="0"/>
              <w:spacing w:before="0" w:after="0"/>
              <w:jc w:val="left"/>
              <w:rPr/>
            </w:pPr>
            <w:r>
              <w:rPr/>
              <w:t>Jurisdiction; Waiver of Jury Trial.</w:t>
            </w:r>
          </w:p>
        </w:tc>
        <w:tc>
          <w:tcPr>
            <w:tcW w:w="260" w:type="dxa"/>
            <w:tcBorders/>
            <w:shd w:fill="CCEEFF" w:val="clear"/>
            <w:vAlign w:val="center"/>
          </w:tcPr>
          <w:p>
            <w:pPr>
              <w:pStyle w:val="TableContents"/>
              <w:bidi w:val="0"/>
              <w:spacing w:before="0" w:after="0"/>
              <w:jc w:val="right"/>
              <w:rPr/>
            </w:pPr>
            <w:r>
              <w:rPr/>
              <w:t>89</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8.13.</w:t>
            </w:r>
          </w:p>
        </w:tc>
        <w:tc>
          <w:tcPr>
            <w:tcW w:w="6995" w:type="dxa"/>
            <w:tcBorders/>
            <w:vAlign w:val="center"/>
          </w:tcPr>
          <w:p>
            <w:pPr>
              <w:pStyle w:val="TableContents"/>
              <w:bidi w:val="0"/>
              <w:spacing w:before="0" w:after="0"/>
              <w:jc w:val="left"/>
              <w:rPr/>
            </w:pPr>
            <w:r>
              <w:rPr/>
              <w:t>Service of Process</w:t>
            </w:r>
          </w:p>
        </w:tc>
        <w:tc>
          <w:tcPr>
            <w:tcW w:w="260" w:type="dxa"/>
            <w:tcBorders/>
            <w:vAlign w:val="center"/>
          </w:tcPr>
          <w:p>
            <w:pPr>
              <w:pStyle w:val="TableContents"/>
              <w:bidi w:val="0"/>
              <w:spacing w:before="0" w:after="0"/>
              <w:jc w:val="right"/>
              <w:rPr/>
            </w:pPr>
            <w:r>
              <w:rPr/>
              <w:t>89</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8.14.</w:t>
            </w:r>
          </w:p>
        </w:tc>
        <w:tc>
          <w:tcPr>
            <w:tcW w:w="6995" w:type="dxa"/>
            <w:tcBorders/>
            <w:shd w:fill="CCEEFF" w:val="clear"/>
            <w:vAlign w:val="center"/>
          </w:tcPr>
          <w:p>
            <w:pPr>
              <w:pStyle w:val="TableContents"/>
              <w:bidi w:val="0"/>
              <w:spacing w:before="0" w:after="0"/>
              <w:jc w:val="left"/>
              <w:rPr/>
            </w:pPr>
            <w:r>
              <w:rPr/>
              <w:t>Remedies</w:t>
            </w:r>
          </w:p>
        </w:tc>
        <w:tc>
          <w:tcPr>
            <w:tcW w:w="260" w:type="dxa"/>
            <w:tcBorders/>
            <w:shd w:fill="CCEEFF" w:val="clear"/>
            <w:vAlign w:val="center"/>
          </w:tcPr>
          <w:p>
            <w:pPr>
              <w:pStyle w:val="TableContents"/>
              <w:bidi w:val="0"/>
              <w:spacing w:before="0" w:after="0"/>
              <w:jc w:val="right"/>
              <w:rPr/>
            </w:pPr>
            <w:r>
              <w:rPr/>
              <w:t>89</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8.15.</w:t>
            </w:r>
          </w:p>
        </w:tc>
        <w:tc>
          <w:tcPr>
            <w:tcW w:w="6995" w:type="dxa"/>
            <w:tcBorders/>
            <w:vAlign w:val="center"/>
          </w:tcPr>
          <w:p>
            <w:pPr>
              <w:pStyle w:val="TableContents"/>
              <w:bidi w:val="0"/>
              <w:spacing w:before="0" w:after="0"/>
              <w:jc w:val="left"/>
              <w:rPr/>
            </w:pPr>
            <w:r>
              <w:rPr/>
              <w:t>Cooperation</w:t>
            </w:r>
          </w:p>
        </w:tc>
        <w:tc>
          <w:tcPr>
            <w:tcW w:w="260" w:type="dxa"/>
            <w:tcBorders/>
            <w:vAlign w:val="center"/>
          </w:tcPr>
          <w:p>
            <w:pPr>
              <w:pStyle w:val="TableContents"/>
              <w:bidi w:val="0"/>
              <w:spacing w:before="0" w:after="0"/>
              <w:jc w:val="right"/>
              <w:rPr/>
            </w:pPr>
            <w:r>
              <w:rPr/>
              <w:t>89</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8.16.</w:t>
            </w:r>
          </w:p>
        </w:tc>
        <w:tc>
          <w:tcPr>
            <w:tcW w:w="6995" w:type="dxa"/>
            <w:tcBorders/>
            <w:shd w:fill="CCEEFF" w:val="clear"/>
            <w:vAlign w:val="center"/>
          </w:tcPr>
          <w:p>
            <w:pPr>
              <w:pStyle w:val="TableContents"/>
              <w:bidi w:val="0"/>
              <w:spacing w:before="0" w:after="0"/>
              <w:jc w:val="left"/>
              <w:rPr/>
            </w:pPr>
            <w:r>
              <w:rPr/>
              <w:t>Specific Performance.</w:t>
            </w:r>
          </w:p>
        </w:tc>
        <w:tc>
          <w:tcPr>
            <w:tcW w:w="260" w:type="dxa"/>
            <w:tcBorders/>
            <w:shd w:fill="CCEEFF" w:val="clear"/>
            <w:vAlign w:val="center"/>
          </w:tcPr>
          <w:p>
            <w:pPr>
              <w:pStyle w:val="TableContents"/>
              <w:bidi w:val="0"/>
              <w:spacing w:before="0" w:after="0"/>
              <w:jc w:val="right"/>
              <w:rPr/>
            </w:pPr>
            <w:r>
              <w:rPr/>
              <w:t>90</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8.17.</w:t>
            </w:r>
          </w:p>
        </w:tc>
        <w:tc>
          <w:tcPr>
            <w:tcW w:w="6995" w:type="dxa"/>
            <w:tcBorders/>
            <w:vAlign w:val="center"/>
          </w:tcPr>
          <w:p>
            <w:pPr>
              <w:pStyle w:val="TableContents"/>
              <w:bidi w:val="0"/>
              <w:spacing w:before="0" w:after="0"/>
              <w:jc w:val="left"/>
              <w:rPr/>
            </w:pPr>
            <w:r>
              <w:rPr/>
              <w:t>Interpretation</w:t>
            </w:r>
          </w:p>
        </w:tc>
        <w:tc>
          <w:tcPr>
            <w:tcW w:w="260" w:type="dxa"/>
            <w:tcBorders/>
            <w:vAlign w:val="center"/>
          </w:tcPr>
          <w:p>
            <w:pPr>
              <w:pStyle w:val="TableContents"/>
              <w:bidi w:val="0"/>
              <w:spacing w:before="0" w:after="0"/>
              <w:jc w:val="right"/>
              <w:rPr/>
            </w:pPr>
            <w:r>
              <w:rPr/>
              <w:t>90</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Annexes</w:t>
      </w:r>
    </w:p>
    <w:p>
      <w:pPr>
        <w:pStyle w:val="TextBody"/>
        <w:bidi w:val="0"/>
        <w:spacing w:before="0" w:after="0"/>
        <w:jc w:val="left"/>
        <w:rPr>
          <w:color w:val="000000"/>
        </w:rPr>
      </w:pPr>
      <w:r>
        <w:rPr>
          <w:color w:val="000000"/>
        </w:rPr>
        <w:t> </w:t>
      </w:r>
    </w:p>
    <w:tbl>
      <w:tblPr>
        <w:tblW w:w="6325" w:type="dxa"/>
        <w:jc w:val="left"/>
        <w:tblInd w:w="0" w:type="dxa"/>
        <w:tblLayout w:type="fixed"/>
        <w:tblCellMar>
          <w:top w:w="0" w:type="dxa"/>
          <w:left w:w="0" w:type="dxa"/>
          <w:bottom w:w="0" w:type="dxa"/>
          <w:right w:w="0" w:type="dxa"/>
        </w:tblCellMar>
      </w:tblPr>
      <w:tblGrid>
        <w:gridCol w:w="950"/>
        <w:gridCol w:w="5375"/>
      </w:tblGrid>
      <w:tr>
        <w:trPr/>
        <w:tc>
          <w:tcPr>
            <w:tcW w:w="950" w:type="dxa"/>
            <w:tcBorders/>
            <w:shd w:fill="CCEEFF" w:val="clear"/>
            <w:vAlign w:val="center"/>
          </w:tcPr>
          <w:p>
            <w:pPr>
              <w:pStyle w:val="TableContents"/>
              <w:bidi w:val="0"/>
              <w:spacing w:before="0" w:after="0"/>
              <w:jc w:val="left"/>
              <w:rPr/>
            </w:pPr>
            <w:r>
              <w:rPr/>
              <w:t>Annex I</w:t>
            </w:r>
          </w:p>
        </w:tc>
        <w:tc>
          <w:tcPr>
            <w:tcW w:w="5375" w:type="dxa"/>
            <w:tcBorders/>
            <w:shd w:fill="CCEEFF" w:val="clear"/>
            <w:vAlign w:val="center"/>
          </w:tcPr>
          <w:p>
            <w:pPr>
              <w:pStyle w:val="TableContents"/>
              <w:bidi w:val="0"/>
              <w:spacing w:before="0" w:after="0"/>
              <w:jc w:val="left"/>
              <w:rPr/>
            </w:pPr>
            <w:r>
              <w:rPr/>
              <w:t>Certificate of Incorporation of the Surviving Corporation</w:t>
            </w:r>
          </w:p>
        </w:tc>
      </w:tr>
      <w:tr>
        <w:trPr/>
        <w:tc>
          <w:tcPr>
            <w:tcW w:w="950" w:type="dxa"/>
            <w:tcBorders/>
            <w:vAlign w:val="center"/>
          </w:tcPr>
          <w:p>
            <w:pPr>
              <w:pStyle w:val="TableContents"/>
              <w:bidi w:val="0"/>
              <w:spacing w:before="0" w:after="0"/>
              <w:jc w:val="left"/>
              <w:rPr/>
            </w:pPr>
            <w:r>
              <w:rPr/>
              <w:t>Annex II</w:t>
            </w:r>
          </w:p>
        </w:tc>
        <w:tc>
          <w:tcPr>
            <w:tcW w:w="5375" w:type="dxa"/>
            <w:tcBorders/>
            <w:vAlign w:val="center"/>
          </w:tcPr>
          <w:p>
            <w:pPr>
              <w:pStyle w:val="TableContents"/>
              <w:bidi w:val="0"/>
              <w:spacing w:before="0" w:after="0"/>
              <w:jc w:val="left"/>
              <w:rPr/>
            </w:pPr>
            <w:r>
              <w:rPr/>
              <w:t>Bylaws of the Surviving Corporation</w:t>
            </w:r>
          </w:p>
        </w:tc>
      </w:tr>
      <w:tr>
        <w:trPr/>
        <w:tc>
          <w:tcPr>
            <w:tcW w:w="950" w:type="dxa"/>
            <w:tcBorders/>
            <w:shd w:fill="CCEEFF" w:val="clear"/>
            <w:vAlign w:val="center"/>
          </w:tcPr>
          <w:p>
            <w:pPr>
              <w:pStyle w:val="TableContents"/>
              <w:bidi w:val="0"/>
              <w:spacing w:before="0" w:after="0"/>
              <w:jc w:val="left"/>
              <w:rPr/>
            </w:pPr>
            <w:r>
              <w:rPr/>
              <w:t>Annex III</w:t>
            </w:r>
          </w:p>
        </w:tc>
        <w:tc>
          <w:tcPr>
            <w:tcW w:w="5375" w:type="dxa"/>
            <w:tcBorders/>
            <w:shd w:fill="CCEEFF" w:val="clear"/>
            <w:vAlign w:val="center"/>
          </w:tcPr>
          <w:p>
            <w:pPr>
              <w:pStyle w:val="TableContents"/>
              <w:bidi w:val="0"/>
              <w:spacing w:before="0" w:after="0"/>
              <w:jc w:val="left"/>
              <w:rPr/>
            </w:pPr>
            <w:r>
              <w:rPr/>
              <w:t>Contingent Value Rights Agreement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 AND PLAN OF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AGREEMENT AND PLAN OF MERGER, dated as of July 15, 2026 (this “</w:t>
      </w:r>
      <w:r>
        <w:rPr>
          <w:rFonts w:ascii="Times New Roman" w:hAnsi="Times New Roman"/>
          <w:color w:val="000000"/>
          <w:sz w:val="20"/>
          <w:u w:val="single"/>
        </w:rPr>
        <w:t>Agreement</w:t>
      </w:r>
      <w:r>
        <w:rPr>
          <w:rFonts w:ascii="Times New Roman" w:hAnsi="Times New Roman"/>
          <w:color w:val="000000"/>
          <w:sz w:val="20"/>
        </w:rPr>
        <w:t>”), is entered into by and among Eli Lilly and Company, an Indiana corporation (“</w:t>
      </w:r>
      <w:r>
        <w:rPr>
          <w:rFonts w:ascii="Times New Roman" w:hAnsi="Times New Roman"/>
          <w:color w:val="000000"/>
          <w:sz w:val="20"/>
          <w:u w:val="single"/>
        </w:rPr>
        <w:t>Parent</w:t>
      </w:r>
      <w:r>
        <w:rPr>
          <w:rFonts w:ascii="Times New Roman" w:hAnsi="Times New Roman"/>
          <w:color w:val="000000"/>
          <w:sz w:val="20"/>
        </w:rPr>
        <w:t>”), Albali Acquisition Corporation, a Delaware corporation and indirect wholly owned Subsidiary of Parent (“</w:t>
      </w:r>
      <w:r>
        <w:rPr>
          <w:rFonts w:ascii="Times New Roman" w:hAnsi="Times New Roman"/>
          <w:color w:val="000000"/>
          <w:sz w:val="20"/>
          <w:u w:val="single"/>
        </w:rPr>
        <w:t>Merger Sub</w:t>
      </w:r>
      <w:r>
        <w:rPr>
          <w:rFonts w:ascii="Times New Roman" w:hAnsi="Times New Roman"/>
          <w:color w:val="000000"/>
          <w:sz w:val="20"/>
        </w:rPr>
        <w:t>”), and AtaiBeckley Inc., a Delaware corporation (the “</w:t>
      </w:r>
      <w:r>
        <w:rPr>
          <w:rFonts w:ascii="Times New Roman" w:hAnsi="Times New Roman"/>
          <w:color w:val="000000"/>
          <w:sz w:val="20"/>
          <w:u w:val="single"/>
        </w:rPr>
        <w:t>Company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upon the terms and subject to the conditions set forth herein, Merger Sub will merge with and into the Company (the “</w:t>
      </w:r>
      <w:r>
        <w:rPr>
          <w:rFonts w:ascii="Times New Roman" w:hAnsi="Times New Roman"/>
          <w:color w:val="000000"/>
          <w:sz w:val="20"/>
          <w:u w:val="single"/>
        </w:rPr>
        <w:t>Merger</w:t>
      </w:r>
      <w:r>
        <w:rPr>
          <w:rFonts w:ascii="Times New Roman" w:hAnsi="Times New Roman"/>
          <w:color w:val="000000"/>
          <w:sz w:val="20"/>
        </w:rPr>
        <w:t>”) in accordance with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with the Company surviving as the Surviving Corporation and as a direct or indirect wholly owned subsidiary of Parent, whereby (i) each share (each, a “</w:t>
      </w:r>
      <w:r>
        <w:rPr>
          <w:rFonts w:ascii="Times New Roman" w:hAnsi="Times New Roman"/>
          <w:color w:val="000000"/>
          <w:sz w:val="20"/>
          <w:u w:val="single"/>
        </w:rPr>
        <w:t>Share</w:t>
      </w:r>
      <w:r>
        <w:rPr>
          <w:rFonts w:ascii="Times New Roman" w:hAnsi="Times New Roman"/>
          <w:color w:val="000000"/>
          <w:sz w:val="20"/>
        </w:rPr>
        <w:t>” and, collectively, “</w:t>
      </w:r>
      <w:r>
        <w:rPr>
          <w:rFonts w:ascii="Times New Roman" w:hAnsi="Times New Roman"/>
          <w:color w:val="000000"/>
          <w:sz w:val="20"/>
          <w:u w:val="single"/>
        </w:rPr>
        <w:t>Shares</w:t>
      </w:r>
      <w:r>
        <w:rPr>
          <w:rFonts w:ascii="Times New Roman" w:hAnsi="Times New Roman"/>
          <w:color w:val="000000"/>
          <w:sz w:val="20"/>
        </w:rPr>
        <w:t>”) of common stock, par value $0.01 per share, of the Company (“</w:t>
      </w:r>
      <w:r>
        <w:rPr>
          <w:rFonts w:ascii="Times New Roman" w:hAnsi="Times New Roman"/>
          <w:color w:val="000000"/>
          <w:sz w:val="20"/>
          <w:u w:val="single"/>
        </w:rPr>
        <w:t>Company Common Stock</w:t>
      </w:r>
      <w:r>
        <w:rPr>
          <w:rFonts w:ascii="Times New Roman" w:hAnsi="Times New Roman"/>
          <w:color w:val="000000"/>
          <w:sz w:val="20"/>
        </w:rPr>
        <w:t xml:space="preserve">”), that is issued and outstanding immediately prior to the Effective Time (other than Shares described in </w:t>
      </w:r>
      <w:r>
        <w:rPr>
          <w:rFonts w:ascii="Times New Roman" w:hAnsi="Times New Roman"/>
          <w:color w:val="000000"/>
          <w:sz w:val="20"/>
          <w:u w:val="single"/>
        </w:rPr>
        <w:t>Section 2.1(b)</w:t>
      </w:r>
      <w:r>
        <w:rPr>
          <w:rFonts w:ascii="Times New Roman" w:hAnsi="Times New Roman"/>
          <w:color w:val="000000"/>
          <w:sz w:val="20"/>
        </w:rPr>
        <w:t xml:space="preserve"> and any Dissenting Shares) will be converted into the right to receive the Merger Consideration, net to the holder of Shares in cash and without interest and less any applicable Tax withholding, upon the terms and conditions set forth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at or immediately prior to the Effective Time, Parent and an agent selected by Parent and reasonably acceptable to the Company (the “</w:t>
      </w:r>
      <w:r>
        <w:rPr>
          <w:rFonts w:ascii="Times New Roman" w:hAnsi="Times New Roman"/>
          <w:color w:val="000000"/>
          <w:sz w:val="20"/>
          <w:u w:val="single"/>
        </w:rPr>
        <w:t>Rights Agent</w:t>
      </w:r>
      <w:r>
        <w:rPr>
          <w:rFonts w:ascii="Times New Roman" w:hAnsi="Times New Roman"/>
          <w:color w:val="000000"/>
          <w:sz w:val="20"/>
        </w:rPr>
        <w:t xml:space="preserve">”) will enter into a Contingent Value Rights Agreement, in the form attached hereto as Annex III (subject to changes permitted by </w:t>
      </w:r>
      <w:r>
        <w:rPr>
          <w:rFonts w:ascii="Times New Roman" w:hAnsi="Times New Roman"/>
          <w:color w:val="000000"/>
          <w:sz w:val="20"/>
          <w:u w:val="single"/>
        </w:rPr>
        <w:t>Section 5.19</w:t>
      </w:r>
      <w:r>
        <w:rPr>
          <w:rFonts w:ascii="Times New Roman" w:hAnsi="Times New Roman"/>
          <w:color w:val="000000"/>
          <w:sz w:val="20"/>
        </w:rPr>
        <w:t>) (the “</w:t>
      </w:r>
      <w:r>
        <w:rPr>
          <w:rFonts w:ascii="Times New Roman" w:hAnsi="Times New Roman"/>
          <w:color w:val="000000"/>
          <w:sz w:val="20"/>
          <w:u w:val="single"/>
        </w:rPr>
        <w:t>CVR Agreement</w:t>
      </w:r>
      <w:r>
        <w:rPr>
          <w:rFonts w:ascii="Times New Roman" w:hAnsi="Times New Roman"/>
          <w:color w:val="000000"/>
          <w:sz w:val="20"/>
        </w:rPr>
        <w:t xml:space="preserve">”), pursuant to which, among other things, each holder of Shares (other than Shares described in </w:t>
      </w:r>
      <w:r>
        <w:rPr>
          <w:rFonts w:ascii="Times New Roman" w:hAnsi="Times New Roman"/>
          <w:color w:val="000000"/>
          <w:sz w:val="20"/>
          <w:u w:val="single"/>
        </w:rPr>
        <w:t>Section 2.1(b)</w:t>
      </w:r>
      <w:r>
        <w:rPr>
          <w:rFonts w:ascii="Times New Roman" w:hAnsi="Times New Roman"/>
          <w:color w:val="000000"/>
          <w:sz w:val="20"/>
        </w:rPr>
        <w:t xml:space="preserve"> and any Dissenting Shares) will receive one (1) contingent value right per Share (each, a “</w:t>
      </w:r>
      <w:r>
        <w:rPr>
          <w:rFonts w:ascii="Times New Roman" w:hAnsi="Times New Roman"/>
          <w:color w:val="000000"/>
          <w:sz w:val="20"/>
          <w:u w:val="single"/>
        </w:rPr>
        <w:t>CVR</w:t>
      </w:r>
      <w:r>
        <w:rPr>
          <w:rFonts w:ascii="Times New Roman" w:hAnsi="Times New Roman"/>
          <w:color w:val="000000"/>
          <w:sz w:val="20"/>
        </w:rPr>
        <w:t>” and, collectively, the “</w:t>
      </w:r>
      <w:r>
        <w:rPr>
          <w:rFonts w:ascii="Times New Roman" w:hAnsi="Times New Roman"/>
          <w:color w:val="000000"/>
          <w:sz w:val="20"/>
          <w:u w:val="single"/>
        </w:rPr>
        <w:t>CVRs</w:t>
      </w:r>
      <w:r>
        <w:rPr>
          <w:rFonts w:ascii="Times New Roman" w:hAnsi="Times New Roman"/>
          <w:color w:val="000000"/>
          <w:sz w:val="20"/>
        </w:rPr>
        <w:t>”), which shall represent the right to receive the Milestone Payments (as such term is defined in the CVR Agreement), if any, at the time provided for in the CVR Agreement, subject to the terms and conditions set forth in the CVR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board of directors of the Company (the “</w:t>
      </w:r>
      <w:r>
        <w:rPr>
          <w:rFonts w:ascii="Times New Roman" w:hAnsi="Times New Roman"/>
          <w:color w:val="000000"/>
          <w:sz w:val="20"/>
          <w:u w:val="single"/>
        </w:rPr>
        <w:t>Company Board</w:t>
      </w:r>
      <w:r>
        <w:rPr>
          <w:rFonts w:ascii="Times New Roman" w:hAnsi="Times New Roman"/>
          <w:color w:val="000000"/>
          <w:sz w:val="20"/>
        </w:rPr>
        <w:t xml:space="preserve">”) has unanimously (i) determined that this Agreement and the Contemplated Transactions are advisable, fair to, and in the best interests of the Company and the holders of the Shares, (ii) duly authorized and approved the execution and delivery of this Agreement by the Company, the performance by the Company of its covenants and other obligations hereunder, and the consummation of the Contemplated Transactions upon the terms and subject to the conditions set forth herein, and (iii) resolved to recommend that the holders of the Shares adopt this Agreement at a meeting of the Company’s stockholders held for such purpose and any adjournment or postponement thereof (the preceding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and </w:t>
      </w:r>
      <w:r>
        <w:rPr>
          <w:rFonts w:ascii="Times New Roman" w:hAnsi="Times New Roman"/>
          <w:color w:val="000000"/>
          <w:sz w:val="20"/>
          <w:u w:val="single"/>
        </w:rPr>
        <w:t>(iii)</w:t>
      </w:r>
      <w:r>
        <w:rPr>
          <w:rFonts w:ascii="Times New Roman" w:hAnsi="Times New Roman"/>
          <w:color w:val="000000"/>
          <w:sz w:val="20"/>
        </w:rPr>
        <w:t xml:space="preserve"> collectively, the “</w:t>
      </w:r>
      <w:r>
        <w:rPr>
          <w:rFonts w:ascii="Times New Roman" w:hAnsi="Times New Roman"/>
          <w:color w:val="000000"/>
          <w:sz w:val="20"/>
          <w:u w:val="single"/>
        </w:rPr>
        <w:t>Company Board Recommendation</w:t>
      </w:r>
      <w:r>
        <w:rPr>
          <w:rFonts w:ascii="Times New Roman" w:hAnsi="Times New Roman"/>
          <w:color w:val="000000"/>
          <w:sz w:val="20"/>
        </w:rPr>
        <w:t>”), in each case, on the terms and subject to the conditions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board of directors of each of Parent and Merger Sub has, on the terms and subject to the conditions set forth herein, adopted this Agreement and approved the Contemplated Transactions, including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concurrently with the execution and delivery of this Agreement, and as a condition and inducement to Parent’s and Merger Sub’s willingness to enter into this Agreement, certain stockholders of the Company are executing and delivering a Support Agreement in favor of Parent (collectively, the “</w:t>
      </w:r>
      <w:r>
        <w:rPr>
          <w:rFonts w:ascii="Times New Roman" w:hAnsi="Times New Roman"/>
          <w:color w:val="000000"/>
          <w:sz w:val="20"/>
          <w:u w:val="single"/>
        </w:rPr>
        <w:t>Support Agreements</w:t>
      </w:r>
      <w:r>
        <w:rPr>
          <w:rFonts w:ascii="Times New Roman" w:hAnsi="Times New Roman"/>
          <w:color w:val="000000"/>
          <w:sz w:val="20"/>
        </w:rPr>
        <w:t>”), pursuant to which such stockholders, among other things, will agree to vote all of the Shares beneficially owned by them in favor of the Merger on the terms and subject to the conditions set forth therein;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sole stockholder of Merger Sub will approve this Agreement immediately following its execution.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mutual covenants and agreements herein contained, and intending to be legally bound hereby, Parent, Merger Sub and the Company hereby agree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The Merger</w:t>
      </w:r>
      <w:r>
        <w:rPr>
          <w:rFonts w:ascii="Times New Roman" w:hAnsi="Times New Roman"/>
          <w:color w:val="000000"/>
          <w:sz w:val="20"/>
        </w:rPr>
        <w:t>. Upon the terms and subject to the conditions of this Agreement and in accordance with Section 251 of the DGCL, at the Effective Time, Merger Sub will be merged with and into the Company. As a result of the Merger, the separate corporate existence of Merger Sub will cease, and the Company will continue as the surviving corporation of the Merger (the “</w:t>
      </w:r>
      <w:r>
        <w:rPr>
          <w:rFonts w:ascii="Times New Roman" w:hAnsi="Times New Roman"/>
          <w:color w:val="000000"/>
          <w:sz w:val="20"/>
          <w:u w:val="single"/>
        </w:rPr>
        <w:t>Surviving Corporation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color w:val="000000"/>
          <w:sz w:val="20"/>
          <w:u w:val="single"/>
        </w:rPr>
        <w:t>Closing; Effective Time</w:t>
      </w:r>
      <w:r>
        <w:rPr>
          <w:rFonts w:ascii="Times New Roman" w:hAnsi="Times New Roman"/>
          <w:color w:val="000000"/>
          <w:sz w:val="20"/>
        </w:rPr>
        <w:t>. Subject to the provisions of this Agreement and pursuant to the DGCL (including Section 251 of the DGCL), the closing of the Merger (the “</w:t>
      </w:r>
      <w:r>
        <w:rPr>
          <w:rFonts w:ascii="Times New Roman" w:hAnsi="Times New Roman"/>
          <w:color w:val="000000"/>
          <w:sz w:val="20"/>
          <w:u w:val="single"/>
        </w:rPr>
        <w:t>Closing</w:t>
      </w:r>
      <w:r>
        <w:rPr>
          <w:rFonts w:ascii="Times New Roman" w:hAnsi="Times New Roman"/>
          <w:color w:val="000000"/>
          <w:sz w:val="20"/>
        </w:rPr>
        <w:t xml:space="preserve">”) will take place remotely by exchange of documents and signatures (or their electronic counterparts), as soon as practicable, but in no event later than the first (1st) Business Day, after the satisfaction or (to the extent permitted by Law) waiver of the conditions set forth in </w:t>
      </w:r>
      <w:r>
        <w:rPr>
          <w:rFonts w:ascii="Times New Roman" w:hAnsi="Times New Roman"/>
          <w:color w:val="000000"/>
          <w:sz w:val="20"/>
          <w:u w:val="single"/>
        </w:rPr>
        <w:t>Article VI</w:t>
      </w:r>
      <w:r>
        <w:rPr>
          <w:rFonts w:ascii="Times New Roman" w:hAnsi="Times New Roman"/>
          <w:color w:val="000000"/>
          <w:sz w:val="20"/>
        </w:rPr>
        <w:t xml:space="preserve"> (excluding conditions that, by their terms, cannot be satisfied until the Closing, but subject to the satisfaction or (to the extent permitted by Law) waiver of such conditions at the Closing), or at such other place or on such other date as Parent and the Company may mutually agree (such date, the “</w:t>
      </w:r>
      <w:r>
        <w:rPr>
          <w:rFonts w:ascii="Times New Roman" w:hAnsi="Times New Roman"/>
          <w:color w:val="000000"/>
          <w:sz w:val="20"/>
          <w:u w:val="single"/>
        </w:rPr>
        <w:t>Closing Date</w:t>
      </w:r>
      <w:r>
        <w:rPr>
          <w:rFonts w:ascii="Times New Roman" w:hAnsi="Times New Roman"/>
          <w:color w:val="000000"/>
          <w:sz w:val="20"/>
        </w:rPr>
        <w:t>”). At the Closing, the parties hereto shall cause the Merger to be consummated by filing a certificate of merger (the “</w:t>
      </w:r>
      <w:r>
        <w:rPr>
          <w:rFonts w:ascii="Times New Roman" w:hAnsi="Times New Roman"/>
          <w:color w:val="000000"/>
          <w:sz w:val="20"/>
          <w:u w:val="single"/>
        </w:rPr>
        <w:t>Certificate of Merger</w:t>
      </w:r>
      <w:r>
        <w:rPr>
          <w:rFonts w:ascii="Times New Roman" w:hAnsi="Times New Roman"/>
          <w:color w:val="000000"/>
          <w:sz w:val="20"/>
        </w:rPr>
        <w:t>”) with the Secretary of State of the State of Delaware, in such form as required by, and executed in accordance with, the relevant provisions of the DGCL (the date and time of acceptance of the filing of the Certificate of Merger with the Secretary of State of the State of Delaware, or such later time as is specified in the Certificate of Merger and agreed to by Merger Sub and the Company, being hereinafter referred to as the “</w:t>
      </w:r>
      <w:r>
        <w:rPr>
          <w:rFonts w:ascii="Times New Roman" w:hAnsi="Times New Roman"/>
          <w:color w:val="000000"/>
          <w:sz w:val="20"/>
          <w:u w:val="single"/>
        </w:rPr>
        <w:t>Effective Time</w:t>
      </w:r>
      <w:r>
        <w:rPr>
          <w:rFonts w:ascii="Times New Roman" w:hAnsi="Times New Roman"/>
          <w:color w:val="000000"/>
          <w:sz w:val="20"/>
        </w:rPr>
        <w:t>”) and shall make all other filings, recordings or publications required under the DGCL in connection with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1.3.      </w:t>
      </w:r>
      <w:r>
        <w:rPr>
          <w:rFonts w:ascii="Times New Roman" w:hAnsi="Times New Roman"/>
          <w:color w:val="000000"/>
          <w:sz w:val="20"/>
          <w:u w:val="single"/>
        </w:rPr>
        <w:t>Effects of the Merger</w:t>
      </w:r>
      <w:r>
        <w:rPr>
          <w:rFonts w:ascii="Times New Roman" w:hAnsi="Times New Roman"/>
          <w:color w:val="000000"/>
          <w:sz w:val="20"/>
        </w:rPr>
        <w:t>. The Merger will have the effects set forth herein and as set forth in the applicable provisions, including Section 259, of the DGCL.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1.4.         </w:t>
      </w:r>
      <w:r>
        <w:rPr>
          <w:rFonts w:ascii="Times New Roman" w:hAnsi="Times New Roman"/>
          <w:color w:val="000000"/>
          <w:sz w:val="20"/>
          <w:u w:val="single"/>
        </w:rPr>
        <w:t>Certificate of Incorporation and Bylaws of the Surviving Corporation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At the Effective Time, the certificate of incorporation of the Company will, by virtue of the Merger, be amended and restated in its entirety to read in the form of </w:t>
      </w:r>
      <w:r>
        <w:rPr>
          <w:rFonts w:ascii="Times New Roman" w:hAnsi="Times New Roman"/>
          <w:color w:val="000000"/>
          <w:sz w:val="20"/>
          <w:u w:val="single"/>
        </w:rPr>
        <w:t>Annex I</w:t>
      </w:r>
      <w:r>
        <w:rPr>
          <w:rFonts w:ascii="Times New Roman" w:hAnsi="Times New Roman"/>
          <w:color w:val="000000"/>
          <w:sz w:val="20"/>
        </w:rPr>
        <w:t>, and as so amended, will be the certificate of incorporation of the Surviving Corporation until thereafter amended in accordance with its terms and as provided by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At the Effective Time, and without any further action on the part of the Company or Merger Sub, the bylaws of the Company will be amended and restated in their entirety so as to read in the form of </w:t>
      </w:r>
      <w:r>
        <w:rPr>
          <w:rFonts w:ascii="Times New Roman" w:hAnsi="Times New Roman"/>
          <w:color w:val="000000"/>
          <w:sz w:val="20"/>
          <w:u w:val="single"/>
        </w:rPr>
        <w:t>Annex II</w:t>
      </w:r>
      <w:r>
        <w:rPr>
          <w:rFonts w:ascii="Times New Roman" w:hAnsi="Times New Roman"/>
          <w:color w:val="000000"/>
          <w:sz w:val="20"/>
        </w:rPr>
        <w:t>, and, as so amended, will be the bylaws of the Surviving Corporation until thereafter amended in accordance with their terms, in accordance with the certificate of incorporation of the Surviving Corporation and as provided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1.5.        </w:t>
      </w:r>
      <w:r>
        <w:rPr>
          <w:rFonts w:ascii="Times New Roman" w:hAnsi="Times New Roman"/>
          <w:color w:val="000000"/>
          <w:sz w:val="20"/>
          <w:u w:val="single"/>
        </w:rPr>
        <w:t>Directors and Officers</w:t>
      </w:r>
      <w:r>
        <w:rPr>
          <w:rFonts w:ascii="Times New Roman" w:hAnsi="Times New Roman"/>
          <w:color w:val="000000"/>
          <w:sz w:val="20"/>
        </w:rPr>
        <w:t>. The directors of Merger Sub immediately prior to the Effective Time will be the initial directors of the Surviving Corporation and the officers of Merger Sub immediately prior to the Effective Time will be the initial officers of the Surviving Corporation, in each case, until the earlier of his or her death, resignation, or removal, or until his or her successor is duly elected and qualified. The Company shall request that each director and officer of the Company immediately prior to the Effective Time execute and deliver a letter effectuating his or her resignation as a member of the Company Board and all committees thereof or as an officer of the Company, as applicable, to be effective as of the Effective Time.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EFFECT OF THE MERGER ON THE CAPITAL STOCK OF THE CONSTITUENT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CORPORATIONS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       </w:t>
      </w:r>
      <w:r>
        <w:rPr>
          <w:rFonts w:ascii="Times New Roman" w:hAnsi="Times New Roman"/>
          <w:color w:val="000000"/>
          <w:sz w:val="20"/>
          <w:u w:val="single"/>
        </w:rPr>
        <w:t>Conversion of Securities</w:t>
      </w:r>
      <w:r>
        <w:rPr>
          <w:rFonts w:ascii="Times New Roman" w:hAnsi="Times New Roman"/>
          <w:color w:val="000000"/>
          <w:sz w:val="20"/>
        </w:rPr>
        <w:t>. At the Effective Time, by virtue of the Merger and without any further action on the part of Parent, Merger Sub, the Company or the holders of any of the following securities, the following will occur: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each Share issued and outstanding immediately prior to the Effective Time (other than any Shares described in </w:t>
      </w:r>
      <w:r>
        <w:rPr>
          <w:rFonts w:ascii="Times New Roman" w:hAnsi="Times New Roman"/>
          <w:color w:val="000000"/>
          <w:sz w:val="20"/>
          <w:u w:val="single"/>
        </w:rPr>
        <w:t>Section 2.1(b)</w:t>
      </w:r>
      <w:r>
        <w:rPr>
          <w:rFonts w:ascii="Times New Roman" w:hAnsi="Times New Roman"/>
          <w:color w:val="000000"/>
          <w:sz w:val="20"/>
        </w:rPr>
        <w:t xml:space="preserve"> and any Dissenting Shares) will be converted into the right to receive $6.75 (the “</w:t>
      </w:r>
      <w:r>
        <w:rPr>
          <w:rFonts w:ascii="Times New Roman" w:hAnsi="Times New Roman"/>
          <w:color w:val="000000"/>
          <w:sz w:val="20"/>
          <w:u w:val="single"/>
        </w:rPr>
        <w:t>Closing Amount</w:t>
      </w:r>
      <w:r>
        <w:rPr>
          <w:rFonts w:ascii="Times New Roman" w:hAnsi="Times New Roman"/>
          <w:color w:val="000000"/>
          <w:sz w:val="20"/>
        </w:rPr>
        <w:t xml:space="preserve">”) in cash, without interest, </w:t>
      </w:r>
      <w:r>
        <w:rPr>
          <w:rFonts w:ascii="Times New Roman" w:hAnsi="Times New Roman"/>
          <w:color w:val="000000"/>
          <w:sz w:val="20"/>
          <w:u w:val="single"/>
        </w:rPr>
        <w:t>plus</w:t>
      </w:r>
      <w:r>
        <w:rPr>
          <w:rFonts w:ascii="Times New Roman" w:hAnsi="Times New Roman"/>
          <w:color w:val="000000"/>
          <w:sz w:val="20"/>
        </w:rPr>
        <w:t xml:space="preserve"> one CVR per Share which shall represent the right to receive the Milestone Payments (as such term is used in the CVR Agreement, if any, at the time provided for in the CVR Agreement, in each case, in cash without interest (the Closing Amount, together with one CVR, “</w:t>
      </w:r>
      <w:r>
        <w:rPr>
          <w:rFonts w:ascii="Times New Roman" w:hAnsi="Times New Roman"/>
          <w:color w:val="000000"/>
          <w:sz w:val="20"/>
          <w:u w:val="single"/>
        </w:rPr>
        <w:t>Merger Consideration</w:t>
      </w:r>
      <w:r>
        <w:rPr>
          <w:rFonts w:ascii="Times New Roman" w:hAnsi="Times New Roman"/>
          <w:color w:val="000000"/>
          <w:sz w:val="20"/>
        </w:rPr>
        <w:t xml:space="preserve">”), less any applicable Tax withholding. As of the Effective Time, all such Shares shall no longer be outstanding and shall cease to exist, and each holder of any such Shares shall cease to have any rights with respect thereto, except the right to receive the Merger Consideration in accordance with </w:t>
      </w:r>
      <w:r>
        <w:rPr>
          <w:rFonts w:ascii="Times New Roman" w:hAnsi="Times New Roman"/>
          <w:color w:val="000000"/>
          <w:sz w:val="20"/>
          <w:u w:val="single"/>
        </w:rPr>
        <w:t>Section 2.5</w:t>
      </w:r>
      <w:r>
        <w:rPr>
          <w:rFonts w:ascii="Times New Roman" w:hAnsi="Times New Roman"/>
          <w:color w:val="000000"/>
          <w:sz w:val="20"/>
        </w:rPr>
        <w:t xml:space="preserve"> and the CVR Agreement, without interest;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each Share held in the treasury of the Company or owned by the Company or any of its Subsidiaries and each Share owned by Parent, Merger Sub or any direct or indirect wholly owned Subsidiary of Parent or Merger Sub immediately prior to the Effective Time will be cancelled and shall cease to exist, and no consideration shall be delivered or deliverable in exchange therefor;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each share of common stock of Merger Sub issued and outstanding immediately prior to the Effective Time will be converted into one fully paid and non-assessable share of common stock of the Surviving Corporation, which shares shall constitute the only outstanding shares of capital stock of the Surviving Corporation;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each Dissenting Share immediately prior to the Effective Time will be cancelled and shall cease to exist, and Dissenting Shares will thereafter only represent the right to receive payment pursuant to Section 262 of the DGCL and as described in </w:t>
      </w:r>
      <w:r>
        <w:rPr>
          <w:rFonts w:ascii="Times New Roman" w:hAnsi="Times New Roman"/>
          <w:color w:val="000000"/>
          <w:sz w:val="20"/>
          <w:u w:val="single"/>
        </w:rPr>
        <w:t>Section 2.4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2.2.         </w:t>
      </w:r>
      <w:r>
        <w:rPr>
          <w:rFonts w:ascii="Times New Roman" w:hAnsi="Times New Roman"/>
          <w:color w:val="000000"/>
          <w:sz w:val="20"/>
          <w:u w:val="single"/>
        </w:rPr>
        <w:t>Treatment of Company Equity Awards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Prior to, at, or as soon as practicable following the date of this Agreement (and, in any event, prior to the Effective Time), the Company Board (or, if appropriate, the committee administering the Company Equity Plans) shall adopt resolutions and shall take other necessary or desirable action to provide that: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at the Effective Time, and without any action on the part of Merger Sub, the Company or any other Person, each Company Stock Option with a per share exercise price that is less than the Closing Amount that is outstanding immediately prior to the Effective Time, whether or not vested (each such Company Stock Option, a “</w:t>
      </w:r>
      <w:r>
        <w:rPr>
          <w:rFonts w:ascii="Times New Roman" w:hAnsi="Times New Roman"/>
          <w:color w:val="000000"/>
          <w:sz w:val="20"/>
          <w:u w:val="single"/>
        </w:rPr>
        <w:t>Company Cash-Out Stock Option</w:t>
      </w:r>
      <w:r>
        <w:rPr>
          <w:rFonts w:ascii="Times New Roman" w:hAnsi="Times New Roman"/>
          <w:color w:val="000000"/>
          <w:sz w:val="20"/>
        </w:rPr>
        <w:t xml:space="preserve">”), will be cancelled, and, in exchange therefor, the holder of such cancelled Company Cash-Out Stock Option will be entitled to receive, in consideration of the cancellation of such Company Cash-Out Stock Option, (A) an amount in cash (without interest and </w:t>
      </w:r>
      <w:r>
        <w:rPr>
          <w:rFonts w:ascii="Times New Roman" w:hAnsi="Times New Roman"/>
          <w:color w:val="000000"/>
          <w:sz w:val="20"/>
          <w:u w:val="single"/>
        </w:rPr>
        <w:t>less</w:t>
      </w:r>
      <w:r>
        <w:rPr>
          <w:rFonts w:ascii="Times New Roman" w:hAnsi="Times New Roman"/>
          <w:color w:val="000000"/>
          <w:sz w:val="20"/>
        </w:rPr>
        <w:t xml:space="preserve"> applicable Tax withholdings pursuant to </w:t>
      </w:r>
      <w:r>
        <w:rPr>
          <w:rFonts w:ascii="Times New Roman" w:hAnsi="Times New Roman"/>
          <w:color w:val="000000"/>
          <w:sz w:val="20"/>
          <w:u w:val="single"/>
        </w:rPr>
        <w:t>Section 2.7</w:t>
      </w:r>
      <w:r>
        <w:rPr>
          <w:rFonts w:ascii="Times New Roman" w:hAnsi="Times New Roman"/>
          <w:color w:val="000000"/>
          <w:sz w:val="20"/>
        </w:rPr>
        <w:t xml:space="preserve">) equal to the product of (1) the total number of shares subject to such Company Cash-Out Stock Option immediately prior to the Effective Time (for Company Cash-Out Stock Options subject to performance-based vesting, assuming applicable performance goals are achieved in full) </w:t>
      </w:r>
      <w:r>
        <w:rPr>
          <w:rFonts w:ascii="Times New Roman" w:hAnsi="Times New Roman"/>
          <w:color w:val="000000"/>
          <w:sz w:val="20"/>
          <w:u w:val="single"/>
        </w:rPr>
        <w:t>multiplied by</w:t>
      </w:r>
      <w:r>
        <w:rPr>
          <w:rFonts w:ascii="Times New Roman" w:hAnsi="Times New Roman"/>
          <w:color w:val="000000"/>
          <w:sz w:val="20"/>
        </w:rPr>
        <w:t> (2) the excess, if any, of the Closing Amount over the applicable exercise price per share under such Company Cash-Out Stock Option and (B) one CVR for each Share subject to such Company Cash-Out Stock Option immediately prior to the Effective Time (without regard to vesting);</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at the Effective Time, each Company Stock Option having an exercise price equal to or greater than the Closing Amount that is outstanding immediately prior to the Effective Time, whether or not vested, will be cancelled for no consideration;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at the Effective Time, and without any action on the part of Merger Sub, the Company or any other Person, each Company RSU that is outstanding, and unvested, or vested but not yet settled, in each case immediately prior to the Effective Time shall be cancelled, and, in exchange therefor, the holder of such cancelled Company RSU will be entitled to receive, in consideration of the cancellation of such Company RSU, (A) an amount in cash (without interest and </w:t>
      </w:r>
      <w:r>
        <w:rPr>
          <w:rFonts w:ascii="Times New Roman" w:hAnsi="Times New Roman"/>
          <w:color w:val="000000"/>
          <w:sz w:val="20"/>
          <w:u w:val="single"/>
        </w:rPr>
        <w:t>less</w:t>
      </w:r>
      <w:r>
        <w:rPr>
          <w:rFonts w:ascii="Times New Roman" w:hAnsi="Times New Roman"/>
          <w:color w:val="000000"/>
          <w:sz w:val="20"/>
        </w:rPr>
        <w:t xml:space="preserve"> applicable Tax withholdings pursuant to </w:t>
      </w:r>
      <w:r>
        <w:rPr>
          <w:rFonts w:ascii="Times New Roman" w:hAnsi="Times New Roman"/>
          <w:color w:val="000000"/>
          <w:sz w:val="20"/>
          <w:u w:val="single"/>
        </w:rPr>
        <w:t>Section 2.7</w:t>
      </w:r>
      <w:r>
        <w:rPr>
          <w:rFonts w:ascii="Times New Roman" w:hAnsi="Times New Roman"/>
          <w:color w:val="000000"/>
          <w:sz w:val="20"/>
        </w:rPr>
        <w:t xml:space="preserve">) equal to the product of (1) the total number of shares subject to such Company RSU immediately prior to the Effective Time, </w:t>
      </w:r>
      <w:r>
        <w:rPr>
          <w:rFonts w:ascii="Times New Roman" w:hAnsi="Times New Roman"/>
          <w:color w:val="000000"/>
          <w:sz w:val="20"/>
          <w:u w:val="single"/>
        </w:rPr>
        <w:t>multiplied by</w:t>
      </w:r>
      <w:r>
        <w:rPr>
          <w:rFonts w:ascii="Times New Roman" w:hAnsi="Times New Roman"/>
          <w:color w:val="000000"/>
          <w:sz w:val="20"/>
        </w:rPr>
        <w:t> (2) the Closing Amount and (B) one CVR for each share of Company Common Stock subject to such Company RSU immediately prior to the Effective Time (without regard to vesting);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each Company Equity Plan and award agreement thereunder shall be terminated effective as of the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Subject to </w:t>
      </w:r>
      <w:r>
        <w:rPr>
          <w:rFonts w:ascii="Times New Roman" w:hAnsi="Times New Roman"/>
          <w:color w:val="000000"/>
          <w:sz w:val="20"/>
          <w:u w:val="single"/>
        </w:rPr>
        <w:t>Section 2.7</w:t>
      </w:r>
      <w:r>
        <w:rPr>
          <w:rFonts w:ascii="Times New Roman" w:hAnsi="Times New Roman"/>
          <w:color w:val="000000"/>
          <w:sz w:val="20"/>
        </w:rPr>
        <w:t xml:space="preserve">, Parent shall cause the Surviving Corporation to make all payments to former holders of Company Cash-Out Stock Options and Company RSUs required under </w:t>
      </w:r>
      <w:r>
        <w:rPr>
          <w:rFonts w:ascii="Times New Roman" w:hAnsi="Times New Roman"/>
          <w:color w:val="000000"/>
          <w:sz w:val="20"/>
          <w:u w:val="single"/>
        </w:rPr>
        <w:t>Section 2.2(a)</w:t>
      </w:r>
      <w:r>
        <w:rPr>
          <w:rFonts w:ascii="Times New Roman" w:hAnsi="Times New Roman"/>
          <w:color w:val="000000"/>
          <w:sz w:val="20"/>
        </w:rPr>
        <w:t xml:space="preserve"> who were granted such interests as an employee of the Company or one of its Subsidiaries as promptly as practicable after the Effective Time or the applicable Milestone Payment Date (as defined in the CVR Agreement), as applicable, and, in any event, no later than the second (2nd) regularly scheduled payroll date that follows (i) with respect to the Closing Amount, the Effective Time and (ii) with respect to cash consideration payable upon satisfaction of a Milestone (as defined in the CVR Agreement) pursuant to the CVR Agreement, such time as the Rights Agent pays the applicable Milestone Payment Amount (as defined in the CVR Agreement) in accordance with Section 2.4(b) of the CVR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No later than ten (10) Business Days prior to the Effective Time, the Company Board (or, if appropriate, the committee administering the Company Equity Plans) shall provide Merger Sub a copy of all resolutions, notices and other documentation effectuating the provisions set forth in this </w:t>
      </w:r>
      <w:r>
        <w:rPr>
          <w:rFonts w:ascii="Times New Roman" w:hAnsi="Times New Roman"/>
          <w:color w:val="000000"/>
          <w:sz w:val="20"/>
          <w:u w:val="single"/>
        </w:rPr>
        <w:t>Section 2.2</w:t>
      </w:r>
      <w:r>
        <w:rPr>
          <w:rFonts w:ascii="Times New Roman" w:hAnsi="Times New Roman"/>
          <w:color w:val="000000"/>
          <w:sz w:val="20"/>
        </w:rPr>
        <w:t xml:space="preserve"> and shall incorporate all reasonable comments made by Merger Sub to such resolutions, notices and other documentation.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2.3.        </w:t>
      </w:r>
      <w:r>
        <w:rPr>
          <w:rFonts w:ascii="Times New Roman" w:hAnsi="Times New Roman"/>
          <w:color w:val="000000"/>
          <w:sz w:val="20"/>
          <w:u w:val="single"/>
        </w:rPr>
        <w:t>Treatment of Warrants</w:t>
      </w:r>
      <w:r>
        <w:rPr>
          <w:rFonts w:ascii="Times New Roman" w:hAnsi="Times New Roman"/>
          <w:color w:val="000000"/>
          <w:sz w:val="20"/>
        </w:rPr>
        <w:t>. Each pre-funded warrant to purchase Shares (each, a “</w:t>
      </w:r>
      <w:r>
        <w:rPr>
          <w:rFonts w:ascii="Times New Roman" w:hAnsi="Times New Roman"/>
          <w:color w:val="000000"/>
          <w:sz w:val="20"/>
          <w:u w:val="single"/>
        </w:rPr>
        <w:t>Pre-Funded Warrant</w:t>
      </w:r>
      <w:r>
        <w:rPr>
          <w:rFonts w:ascii="Times New Roman" w:hAnsi="Times New Roman"/>
          <w:color w:val="000000"/>
          <w:sz w:val="20"/>
        </w:rPr>
        <w:t>”) outstanding immediately prior to the Effective Time will remain outstanding following the Effective Time and will be exercisable into the same consideration as the holder thereof would have been entitled to receive if it had been, immediately prior to such transaction, the holder of the number of shares of Company Common Stock then issuable upon exercise in full of the Pre-Funded Warrant. As soon as reasonably practicable following the date of this Agreement, and in any event no later than ten (10) days prior to the Closing Date, the Company shall provide, in accordance with the terms of each Pre-Funded Warrant, any notices required to be provided to the holder of such Pre-Funded Warrant, the form of which shall be given to Parent and its counsel for a reasonable opportunity to review and comment before such notice is provided to the holder of such Pre-Funded Warrant, and take all such other actions that may be required in accordance with the terms of such Pre-Funded Warrant in connection with the transaction contemplated by this Agreement prior to the Effective Time. The Company shall use commercially reasonable efforts to cause each holder of a Pre-Funded Warrant to exercise such Pre-Funded Warrant prior to the Effective Time. From and after the Closing, Parent shall cause the Surviving Corporation to comply with all of the terms and conditions set forth in the Pre-Funded Warrants, including the obligation to make the payments contemplated thereby upon exercise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2.4.         </w:t>
      </w:r>
      <w:r>
        <w:rPr>
          <w:rFonts w:ascii="Times New Roman" w:hAnsi="Times New Roman"/>
          <w:color w:val="000000"/>
          <w:sz w:val="20"/>
          <w:u w:val="single"/>
        </w:rPr>
        <w:t>Dissenting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Notwithstanding anything in this Agreement to the contrary, Shares outstanding immediately prior to the Effective Time and held by a holder who is entitled to demand and who has properly exercised and perfected their respective demands for appraisal for such Shares in accordance with Section 262 of the DGCL (the “</w:t>
      </w:r>
      <w:r>
        <w:rPr>
          <w:rFonts w:ascii="Times New Roman" w:hAnsi="Times New Roman"/>
          <w:color w:val="000000"/>
          <w:sz w:val="20"/>
          <w:u w:val="single"/>
        </w:rPr>
        <w:t>Dissenting Shares</w:t>
      </w:r>
      <w:r>
        <w:rPr>
          <w:rFonts w:ascii="Times New Roman" w:hAnsi="Times New Roman"/>
          <w:color w:val="000000"/>
          <w:sz w:val="20"/>
        </w:rPr>
        <w:t xml:space="preserve">”) will not be converted into a right to receive the Merger Consideration unless such holder fails to perfect or effectively withdraws or otherwise loses his, her, or its right to appraisal. Instead, at the Effective Time, the Dissenting Shares shall no longer be outstanding and shall automatically be cancelled and shall cease to exist, and from and after the Effective Time, a holder of Dissenting Shares who has properly exercised appraisal rights will not have any rights of a stockholder of the Company or the Surviving Corporation with respect to such Dissenting Shares, except those provided under Section 262 of the DGCL. A holder of Dissenting Shares will be entitled only to receive payment of the appraised value of such Dissenting Shares in accordance with Section 262 of the DGCL, unless, after the Effective Time, such holder fails to perfect, effectively withdraws or otherwise loses his, her, or its right to appraisal in accordance with Section 262 of the DGCL, in which case such Dissenting Shares will be treated as if such Dissenting Shares had been converted as of the Effective Time into the right to receive the Merger Consideration, without interest thereon and less any applicable Tax withholding, in accordance with </w:t>
      </w:r>
      <w:r>
        <w:rPr>
          <w:rFonts w:ascii="Times New Roman" w:hAnsi="Times New Roman"/>
          <w:color w:val="000000"/>
          <w:sz w:val="20"/>
          <w:u w:val="single"/>
        </w:rPr>
        <w:t>Section 2.5</w:t>
      </w:r>
      <w:r>
        <w:rPr>
          <w:rFonts w:ascii="Times New Roman" w:hAnsi="Times New Roman"/>
          <w:color w:val="000000"/>
          <w:sz w:val="20"/>
        </w:rPr>
        <w:t xml:space="preserve">, pursuant to </w:t>
      </w:r>
      <w:r>
        <w:rPr>
          <w:rFonts w:ascii="Times New Roman" w:hAnsi="Times New Roman"/>
          <w:color w:val="000000"/>
          <w:sz w:val="20"/>
          <w:u w:val="single"/>
        </w:rPr>
        <w:t>Section 2.1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shall provide Parent with prompt written notice of any demands for appraisal (including copies of any written demands), withdrawals of such demands, and any other instruments received by the Company from holders of Shares relating to rights of appraisal, and Parent will have the opportunity and right to direct the conduct of all negotiations and proceedings with respect to demands for appraisal. Except with the prior written consent of Parent, the Company shall not voluntarily make any payment with respect to any demands for appraisal or settle or offer to settle any such demands for appraisal, or agree to do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2.5.         </w:t>
      </w:r>
      <w:r>
        <w:rPr>
          <w:rFonts w:ascii="Times New Roman" w:hAnsi="Times New Roman"/>
          <w:color w:val="000000"/>
          <w:sz w:val="20"/>
          <w:u w:val="single"/>
        </w:rPr>
        <w:t>Surrender of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At or immediately after the Effective Time, Parent shall deposit or cause to be deposited with a bank or trust company reasonably acceptable to the Company (the “</w:t>
      </w:r>
      <w:r>
        <w:rPr>
          <w:rFonts w:ascii="Times New Roman" w:hAnsi="Times New Roman"/>
          <w:color w:val="000000"/>
          <w:sz w:val="20"/>
          <w:u w:val="single"/>
        </w:rPr>
        <w:t>Paying Agent</w:t>
      </w:r>
      <w:r>
        <w:rPr>
          <w:rFonts w:ascii="Times New Roman" w:hAnsi="Times New Roman"/>
          <w:color w:val="000000"/>
          <w:sz w:val="20"/>
        </w:rPr>
        <w:t xml:space="preserve">”), pursuant to a paying agent agreement that shall be in form and substance reasonably acceptable to the Company, cash in an amount sufficient to pay the aggregate Closing Amount, and Parent shall cause the Paying Agent to timely make all payments contemplated in </w:t>
      </w:r>
      <w:r>
        <w:rPr>
          <w:rFonts w:ascii="Times New Roman" w:hAnsi="Times New Roman"/>
          <w:color w:val="000000"/>
          <w:sz w:val="20"/>
          <w:u w:val="single"/>
        </w:rPr>
        <w:t>Section 2.5(b)</w:t>
      </w:r>
      <w:r>
        <w:rPr>
          <w:rFonts w:ascii="Times New Roman" w:hAnsi="Times New Roman"/>
          <w:color w:val="000000"/>
          <w:sz w:val="20"/>
        </w:rPr>
        <w:t xml:space="preserve">. Such cash may be invested by the Paying Agent as directed by Parent; </w:t>
      </w:r>
      <w:r>
        <w:rPr>
          <w:rFonts w:ascii="Times New Roman" w:hAnsi="Times New Roman"/>
          <w:color w:val="000000"/>
          <w:sz w:val="20"/>
          <w:u w:val="single"/>
        </w:rPr>
        <w:t>provided</w:t>
      </w:r>
      <w:r>
        <w:rPr>
          <w:rFonts w:ascii="Times New Roman" w:hAnsi="Times New Roman"/>
          <w:color w:val="000000"/>
          <w:sz w:val="20"/>
        </w:rPr>
        <w:t xml:space="preserve"> that (i) such investments must be in short-term obligations of the United States of America with maturities of no more than thirty (30) days or guaranteed by the United States of America and backed by the full faith and credit of the United States of America or in commercial paper obligations rated A-1 or P-1 or better by Moody’s Investors Service, Inc. or Standard &amp; Poor’s Corporation, respectively, (ii) no such investment will relieve Parent, Merger Sub, or the Paying Agent from making the payments required by this </w:t>
      </w:r>
      <w:r>
        <w:rPr>
          <w:rFonts w:ascii="Times New Roman" w:hAnsi="Times New Roman"/>
          <w:color w:val="000000"/>
          <w:sz w:val="20"/>
          <w:u w:val="single"/>
        </w:rPr>
        <w:t>Article II</w:t>
      </w:r>
      <w:r>
        <w:rPr>
          <w:rFonts w:ascii="Times New Roman" w:hAnsi="Times New Roman"/>
          <w:color w:val="000000"/>
          <w:sz w:val="20"/>
        </w:rPr>
        <w:t xml:space="preserve"> and (iii) no such investment will have maturities that could prevent or delay payments to be made pursuant to this Agreement. Any interest or income produced by such investments will be payable to, and for U.S. federal (and any applicable state or local) income tax purposes reported as earned by, the Surviving Corporation or Parent, as Parent directs. No loss incurred with respect to such investments will decrease the amounts payable pursuant to this Agreement. In the event that the amount of cash held by the Paying Agent is insufficient to pay the aggregate Closing Amount, Parent shall promptly deposit, or cause to be deposited, additional funds with the Paying Agent in an amount which is equal to the deficiency in the amount required to make all such payments pursuant to </w:t>
      </w:r>
      <w:r>
        <w:rPr>
          <w:rFonts w:ascii="Times New Roman" w:hAnsi="Times New Roman"/>
          <w:color w:val="000000"/>
          <w:sz w:val="20"/>
          <w:u w:val="single"/>
        </w:rPr>
        <w:t>Section 2.5(b)</w:t>
      </w:r>
      <w:r>
        <w:rPr>
          <w:rFonts w:ascii="Times New Roman" w:hAnsi="Times New Roman"/>
          <w:color w:val="000000"/>
          <w:sz w:val="20"/>
        </w:rPr>
        <w:t xml:space="preserve">. The aggregate Closing Amount as so deposited with the Paying Agent will not be used for any purpose other than to fund payments pursuant to </w:t>
      </w:r>
      <w:r>
        <w:rPr>
          <w:rFonts w:ascii="Times New Roman" w:hAnsi="Times New Roman"/>
          <w:color w:val="000000"/>
          <w:sz w:val="20"/>
          <w:u w:val="single"/>
        </w:rPr>
        <w:t>Section 2.5(b)</w:t>
      </w:r>
      <w:r>
        <w:rPr>
          <w:rFonts w:ascii="Times New Roman" w:hAnsi="Times New Roman"/>
          <w:color w:val="000000"/>
          <w:sz w:val="20"/>
        </w:rPr>
        <w:t>, except as expressly provided for in this Agreement. Any portion of the cash made available to the Paying Agent in respect of any Dissenting Shares will be returned to Parent, upon demand. Parent shall not be required to deposit any funds related to any CVR with the Rights Agent, unless and until such deposit is required pursuant to the terms of the CVR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As promptly as practicable after the Effective Time (and in any event within three (3) Business Days thereafter), Parent shall cause the Paying Agent to mail to each holder of record of a certificate (a “</w:t>
      </w:r>
      <w:r>
        <w:rPr>
          <w:rFonts w:ascii="Times New Roman" w:hAnsi="Times New Roman"/>
          <w:color w:val="000000"/>
          <w:sz w:val="20"/>
          <w:u w:val="single"/>
        </w:rPr>
        <w:t>Certificate</w:t>
      </w:r>
      <w:r>
        <w:rPr>
          <w:rFonts w:ascii="Times New Roman" w:hAnsi="Times New Roman"/>
          <w:color w:val="000000"/>
          <w:sz w:val="20"/>
        </w:rPr>
        <w:t>”) or book-entry shares (each, a “</w:t>
      </w:r>
      <w:r>
        <w:rPr>
          <w:rFonts w:ascii="Times New Roman" w:hAnsi="Times New Roman"/>
          <w:color w:val="000000"/>
          <w:sz w:val="20"/>
          <w:u w:val="single"/>
        </w:rPr>
        <w:t>Book-Entry Share</w:t>
      </w:r>
      <w:r>
        <w:rPr>
          <w:rFonts w:ascii="Times New Roman" w:hAnsi="Times New Roman"/>
          <w:color w:val="000000"/>
          <w:sz w:val="20"/>
        </w:rPr>
        <w:t xml:space="preserve">”), which immediately prior to the Effective Time represented outstanding Shares that were converted pursuant to </w:t>
      </w:r>
      <w:r>
        <w:rPr>
          <w:rFonts w:ascii="Times New Roman" w:hAnsi="Times New Roman"/>
          <w:color w:val="000000"/>
          <w:sz w:val="20"/>
          <w:u w:val="single"/>
        </w:rPr>
        <w:t>Section 2.1</w:t>
      </w:r>
      <w:r>
        <w:rPr>
          <w:rFonts w:ascii="Times New Roman" w:hAnsi="Times New Roman"/>
          <w:color w:val="000000"/>
          <w:sz w:val="20"/>
        </w:rPr>
        <w:t xml:space="preserve"> into the right to receive the Merger Consideration, (i) a letter of transmittal in customary form reasonably acceptable to the Company (which will (x) specify that delivery will be effected, and risk of loss and title to the Certificate will pass, only upon delivery of such Certificate to the Paying Agent and (y) contain such other provisions as are customary and reasonably acceptable to Parent and the Company) or a customary agent’s message with respect to Book-Entry Shares, as applicable and (ii) instructions for effecting the surrender of the Certificate or Book-Entry Share in exchange for payment of the Merger Consideration. Upon surrender of a Certificate or Book-Entry Share for cancellation to the Paying Agent or to such other agent or agents as may be appointed by Parent, together with such letter of transmittal, duly executed and properly completed (in the case of surrender of a Certificate), the holder of such Certificate or Book-Entry Share will be entitled to receive in exchange therefor the Merger Consideration for each Share formerly represented by such Certificate or Book-Entry Share, and the Certificate or Book-Entry Share so surrendered will be cancelled. Until surrendered as contemplated by this </w:t>
      </w:r>
      <w:r>
        <w:rPr>
          <w:rFonts w:ascii="Times New Roman" w:hAnsi="Times New Roman"/>
          <w:color w:val="000000"/>
          <w:sz w:val="20"/>
          <w:u w:val="single"/>
        </w:rPr>
        <w:t>Section 2.5(b)</w:t>
      </w:r>
      <w:r>
        <w:rPr>
          <w:rFonts w:ascii="Times New Roman" w:hAnsi="Times New Roman"/>
          <w:color w:val="000000"/>
          <w:sz w:val="20"/>
        </w:rPr>
        <w:t>, each Certificate will be deemed at any time after the Effective Time to represent only the right to receive the Merger Consideration and will not evidence any interest in, or any right to exercise the rights of a stockholder or other equity holder of, the Company or the Surviving Corporation. No interest shall be paid or accrue on the cash payable upon surrender of any Certificate.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No holder of record of a Book-Entry Share, which immediately prior to the Effective Time represented outstanding Shares that were converted pursuant to </w:t>
      </w:r>
      <w:r>
        <w:rPr>
          <w:rFonts w:ascii="Times New Roman" w:hAnsi="Times New Roman"/>
          <w:color w:val="000000"/>
          <w:sz w:val="20"/>
          <w:u w:val="single"/>
        </w:rPr>
        <w:t>Section 2.1</w:t>
      </w:r>
      <w:r>
        <w:rPr>
          <w:rFonts w:ascii="Times New Roman" w:hAnsi="Times New Roman"/>
          <w:color w:val="000000"/>
          <w:sz w:val="20"/>
        </w:rPr>
        <w:t xml:space="preserve"> into the right to receive the Merger Consideration, shall be required to deliver a Certificate or an executed letter of transmittal to the Paying Agent to receive the Merger Consideration in respect of such Book-Entry Shares. In lieu thereof, such holder of record shall, upon receipt by the Paying Agent of an “agent’s message” in customary form (or such other evidence, if any, as the Paying Agent may reasonably request), be entitled to receive in exchange therefor, the Merger Consideration for each Share formerly represented by such Book-Entry Share, and such Book-Entry Share will be cancelled. Payment of the Merger Consideration with respect to Book-Entry Shares shall only be made to the Person in whose name such Book-Entry Shares are registered. Until such “agent’s message” (or such other evidence) is received, each Book-Entry Share will be deemed at any time after the Effective Time to represent only the right to receive the Merger Consideration and will not evidence any interest in, or any right to exercise the rights of a stockholder or other equity holder of, the Company or the Surviving Corporation. No interest shall be paid or accrue on the cash payable in respect of a Book-Entry Share.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At any time following the date that is six (6) months after the Effective Time, Parent may require the Paying Agent to deliver to Parent or its designated Affiliate any funds (including any interest received with respect thereto) that have been made available to the Paying Agent and that have not been disbursed to holders of Certificates and Book-Entry Shares, and thereafter such holders will be entitled to look to the Surviving Corporation (subject to abandoned property, escheat or other similar laws) with respect to the Merger Consideration payable to the holder of a Certificate or Book-Entry Share. The Surviving Corporation shall pay all charges and expenses, including those of the Paying Agent, in connection with the exchange of Shares for the Merger Consideration. None of Parent, Merger Sub, the Company, the Surviving Corporation or the Paying Agent shall be liable to any Person in respect of any cash delivered to a public official pursuant to any applicable abandoned property, escheat or similar Law. If any Certificate has not been surrendered, or the applicable “agent’s message” or other evidence is not received in respect of a Book-Entry Share, immediately prior to the date on which the Merger Consideration in respect of such Certificate or Book-Entry Share would otherwise escheat to or become the property of any Governmental Body, any Merger Consideration in respect of such Certificate or Book-Entry Share will, to the extent permitted by applicable Law, immediately prior to such time become the property of the Surviving Corporation, free and clear of all claims or interest of any individual, corporation, partnership, limited liability company, association, trust, unincorporated organization, other entity or group (as defined in Section 13(d)(3) of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previously entitled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From and after the Effective Time, the stock transfer books of the Company will be closed, and no subsequent transfers of Shares that were issued prior to the Effective Time will be registered. After the Effective Time, any Certificate or Book-Entry Share presented to the Surviving Corporation for transfer will be cancelled and exchanged for the consideration provided for, and in accordance with the procedures set forth in, this </w:t>
      </w:r>
      <w:r>
        <w:rPr>
          <w:rFonts w:ascii="Times New Roman" w:hAnsi="Times New Roman"/>
          <w:color w:val="000000"/>
          <w:sz w:val="20"/>
          <w:u w:val="single"/>
        </w:rPr>
        <w:t>Article II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In the event that any Certificate has been lost, stolen or destroyed, upon the holder’s delivery of an affidavit of loss to the Paying Agent (and, if required by Parent or the Paying Agent, the posting by such holder of a bond in customary amount and upon such terms as may be reasonably required by Parent or the Paying Agent as indemnity against any claim that may be made against it or the Surviving Corporation with respect to such Certificate), Parent shall cause the Paying Agent to deliver as consideration for the lost, stolen or destroyed Certificate the applicable Merger Consideration payable in respect of the Shares represented by such Certificate, without interest and less any applicable Tax withholding.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2.6.        </w:t>
      </w:r>
      <w:r>
        <w:rPr>
          <w:rFonts w:ascii="Times New Roman" w:hAnsi="Times New Roman"/>
          <w:color w:val="000000"/>
          <w:sz w:val="20"/>
          <w:u w:val="single"/>
        </w:rPr>
        <w:t>Section 16 Matters</w:t>
      </w:r>
      <w:r>
        <w:rPr>
          <w:rFonts w:ascii="Times New Roman" w:hAnsi="Times New Roman"/>
          <w:color w:val="000000"/>
          <w:sz w:val="20"/>
        </w:rPr>
        <w:t>. Prior to the Effective Time, the Company Board shall take all necessary and appropriate action to approve, for purposes of Section 16(b) of the Exchange Act and the related rules and regulations thereunder, the disposition by Company directors and officers of Shares, Company Stock Options and Company RSUs in the Contemplated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2.7.         </w:t>
      </w:r>
      <w:r>
        <w:rPr>
          <w:rFonts w:ascii="Times New Roman" w:hAnsi="Times New Roman"/>
          <w:color w:val="000000"/>
          <w:sz w:val="20"/>
          <w:u w:val="single"/>
        </w:rPr>
        <w:t>Withholding</w:t>
      </w:r>
      <w:r>
        <w:rPr>
          <w:rFonts w:ascii="Times New Roman" w:hAnsi="Times New Roman"/>
          <w:color w:val="000000"/>
          <w:sz w:val="20"/>
        </w:rPr>
        <w:t>. The parties hereto and the Paying Agent (each, a “</w:t>
      </w:r>
      <w:r>
        <w:rPr>
          <w:rFonts w:ascii="Times New Roman" w:hAnsi="Times New Roman"/>
          <w:color w:val="000000"/>
          <w:sz w:val="20"/>
          <w:u w:val="single"/>
        </w:rPr>
        <w:t>Payor</w:t>
      </w:r>
      <w:r>
        <w:rPr>
          <w:rFonts w:ascii="Times New Roman" w:hAnsi="Times New Roman"/>
          <w:color w:val="000000"/>
          <w:sz w:val="20"/>
        </w:rPr>
        <w:t>”) are entitled to deduct and withhold from any amounts payable or otherwise deliverable pursuant to this Agreement such amounts as are required to be deducted and withheld therefrom under the United States Internal Revenue Code of 1986, as amended (the “</w:t>
      </w:r>
      <w:r>
        <w:rPr>
          <w:rFonts w:ascii="Times New Roman" w:hAnsi="Times New Roman"/>
          <w:color w:val="000000"/>
          <w:sz w:val="20"/>
          <w:u w:val="single"/>
        </w:rPr>
        <w:t>Code</w:t>
      </w:r>
      <w:r>
        <w:rPr>
          <w:rFonts w:ascii="Times New Roman" w:hAnsi="Times New Roman"/>
          <w:color w:val="000000"/>
          <w:sz w:val="20"/>
        </w:rPr>
        <w:t>”), or the Treasury Regulations thereunder (the “</w:t>
      </w:r>
      <w:r>
        <w:rPr>
          <w:rFonts w:ascii="Times New Roman" w:hAnsi="Times New Roman"/>
          <w:color w:val="000000"/>
          <w:sz w:val="20"/>
          <w:u w:val="single"/>
        </w:rPr>
        <w:t>Treasury Regulations</w:t>
      </w:r>
      <w:r>
        <w:rPr>
          <w:rFonts w:ascii="Times New Roman" w:hAnsi="Times New Roman"/>
          <w:color w:val="000000"/>
          <w:sz w:val="20"/>
        </w:rPr>
        <w:t xml:space="preserve">”), or any other applicable Tax Law. Any compensatory amounts payable pursuant to or as contemplated by this Agreement (which, for the avoidance of doubt, shall exclude amounts payable in respect of Shares and the Pre-Funded Warrants), including pursuant to </w:t>
      </w:r>
      <w:r>
        <w:rPr>
          <w:rFonts w:ascii="Times New Roman" w:hAnsi="Times New Roman"/>
          <w:color w:val="000000"/>
          <w:sz w:val="20"/>
          <w:u w:val="single"/>
        </w:rPr>
        <w:t>Section 2.2</w:t>
      </w:r>
      <w:r>
        <w:rPr>
          <w:rFonts w:ascii="Times New Roman" w:hAnsi="Times New Roman"/>
          <w:color w:val="000000"/>
          <w:sz w:val="20"/>
        </w:rPr>
        <w:t>, will be remitted to the applicable payor for payment to the applicable Person through regular payroll procedures, as applicable. To the extent that any amounts are so deducted and withheld and paid over to the appropriate Governmental Body, such amounts will be treated for all purposes under this Agreement as having been paid to the Person to whom such amounts would otherwise have been paid.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2.8.        </w:t>
      </w:r>
      <w:r>
        <w:rPr>
          <w:rFonts w:ascii="Times New Roman" w:hAnsi="Times New Roman"/>
          <w:color w:val="000000"/>
          <w:sz w:val="20"/>
          <w:u w:val="single"/>
        </w:rPr>
        <w:t>Transfer Taxes</w:t>
      </w:r>
      <w:r>
        <w:rPr>
          <w:rFonts w:ascii="Times New Roman" w:hAnsi="Times New Roman"/>
          <w:color w:val="000000"/>
          <w:sz w:val="20"/>
        </w:rPr>
        <w:t xml:space="preserve">. Except as otherwise provided in this </w:t>
      </w:r>
      <w:r>
        <w:rPr>
          <w:rFonts w:ascii="Times New Roman" w:hAnsi="Times New Roman"/>
          <w:color w:val="000000"/>
          <w:sz w:val="20"/>
          <w:u w:val="single"/>
        </w:rPr>
        <w:t>Section 2.8</w:t>
      </w:r>
      <w:r>
        <w:rPr>
          <w:rFonts w:ascii="Times New Roman" w:hAnsi="Times New Roman"/>
          <w:color w:val="000000"/>
          <w:sz w:val="20"/>
        </w:rPr>
        <w:t>, all Transfer Taxes imposed on the Merger shall be paid by the Surviving Corporation, and the Company shall cooperate with Merger Sub and Parent in preparing, executing and filing any Tax Returns with respect to such Transfer Taxes. Notwithstanding the foregoing, if any payment pursuant to the Merger is to be made to a Person other than the Person in whose name the surrendered Certificate is registered, it will be a condition to such payment that (a) such Certificate so surrendered must be properly endorsed or must otherwise be in proper form and (b) the Person presenting such Certificate to the Paying Agent for payment must pay to the Paying Agent any Transfer Taxes or other Taxes required as a result of such payment to a Person other than the registered holder of such Certificate or must establish to the satisfaction of the Paying Agent and Parent that such Tax has been paid or is not required to be paid.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REPRESENTATIONS AND WARRANTIES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Except as otherwise disclosed in (a) Company SEC Documents publicly available at least two (2) Business Days prior to the date of this Agreement (excluding any disclosures in “risk factors” or otherwise relating to “forward-looking statements” to the extent that they are cautionary, predictive or forward-looking in nature) (</w:t>
      </w:r>
      <w:r>
        <w:rPr>
          <w:rFonts w:ascii="Times New Roman" w:hAnsi="Times New Roman"/>
          <w:color w:val="000000"/>
          <w:sz w:val="20"/>
          <w:u w:val="single"/>
        </w:rPr>
        <w:t>provided</w:t>
      </w:r>
      <w:r>
        <w:rPr>
          <w:rFonts w:ascii="Times New Roman" w:hAnsi="Times New Roman"/>
          <w:color w:val="000000"/>
          <w:sz w:val="20"/>
        </w:rPr>
        <w:t xml:space="preserve"> that nothing disclosed in the Company SEC Documents shall be deemed a qualification of, or modification to, the representations and warranties set forth in </w:t>
      </w:r>
      <w:r>
        <w:rPr>
          <w:rFonts w:ascii="Times New Roman" w:hAnsi="Times New Roman"/>
          <w:color w:val="000000"/>
          <w:sz w:val="20"/>
          <w:u w:val="single"/>
        </w:rPr>
        <w:t>Section 3.1(a)</w:t>
      </w:r>
      <w:r>
        <w:rPr>
          <w:rFonts w:ascii="Times New Roman" w:hAnsi="Times New Roman"/>
          <w:color w:val="000000"/>
          <w:sz w:val="20"/>
        </w:rPr>
        <w:t xml:space="preserve"> (Organization and Corporate Power), </w:t>
      </w:r>
      <w:r>
        <w:rPr>
          <w:rFonts w:ascii="Times New Roman" w:hAnsi="Times New Roman"/>
          <w:color w:val="000000"/>
          <w:sz w:val="20"/>
          <w:u w:val="single"/>
        </w:rPr>
        <w:t>Section 3.2</w:t>
      </w:r>
      <w:r>
        <w:rPr>
          <w:rFonts w:ascii="Times New Roman" w:hAnsi="Times New Roman"/>
          <w:color w:val="000000"/>
          <w:sz w:val="20"/>
        </w:rPr>
        <w:t xml:space="preserve"> (Authorization; Valid and Binding Agreement), </w:t>
      </w:r>
      <w:r>
        <w:rPr>
          <w:rFonts w:ascii="Times New Roman" w:hAnsi="Times New Roman"/>
          <w:color w:val="000000"/>
          <w:sz w:val="20"/>
          <w:u w:val="single"/>
        </w:rPr>
        <w:t>Section 3.3</w:t>
      </w:r>
      <w:r>
        <w:rPr>
          <w:rFonts w:ascii="Times New Roman" w:hAnsi="Times New Roman"/>
          <w:color w:val="000000"/>
          <w:sz w:val="20"/>
        </w:rPr>
        <w:t xml:space="preserve"> (Capital Stock), </w:t>
      </w:r>
      <w:r>
        <w:rPr>
          <w:rFonts w:ascii="Times New Roman" w:hAnsi="Times New Roman"/>
          <w:color w:val="000000"/>
          <w:sz w:val="20"/>
          <w:u w:val="single"/>
        </w:rPr>
        <w:t>Section 3.4</w:t>
      </w:r>
      <w:r>
        <w:rPr>
          <w:rFonts w:ascii="Times New Roman" w:hAnsi="Times New Roman"/>
          <w:color w:val="000000"/>
          <w:sz w:val="20"/>
        </w:rPr>
        <w:t xml:space="preserve"> (No Breach), </w:t>
      </w:r>
      <w:r>
        <w:rPr>
          <w:rFonts w:ascii="Times New Roman" w:hAnsi="Times New Roman"/>
          <w:color w:val="000000"/>
          <w:sz w:val="20"/>
          <w:u w:val="single"/>
        </w:rPr>
        <w:t>Section 3.8(a)</w:t>
      </w:r>
      <w:r>
        <w:rPr>
          <w:rFonts w:ascii="Times New Roman" w:hAnsi="Times New Roman"/>
          <w:color w:val="000000"/>
          <w:sz w:val="20"/>
        </w:rPr>
        <w:t xml:space="preserve"> (Absence of Certain Developments), </w:t>
      </w:r>
      <w:r>
        <w:rPr>
          <w:rFonts w:ascii="Times New Roman" w:hAnsi="Times New Roman"/>
          <w:color w:val="000000"/>
          <w:sz w:val="20"/>
          <w:u w:val="single"/>
        </w:rPr>
        <w:t>Section 3.11</w:t>
      </w:r>
      <w:r>
        <w:rPr>
          <w:rFonts w:ascii="Times New Roman" w:hAnsi="Times New Roman"/>
          <w:color w:val="000000"/>
          <w:sz w:val="20"/>
        </w:rPr>
        <w:t xml:space="preserve"> (Tax Matters) and </w:t>
      </w:r>
      <w:r>
        <w:rPr>
          <w:rFonts w:ascii="Times New Roman" w:hAnsi="Times New Roman"/>
          <w:color w:val="000000"/>
          <w:sz w:val="20"/>
          <w:u w:val="single"/>
        </w:rPr>
        <w:t>Section 3.22</w:t>
      </w:r>
      <w:r>
        <w:rPr>
          <w:rFonts w:ascii="Times New Roman" w:hAnsi="Times New Roman"/>
          <w:color w:val="000000"/>
          <w:sz w:val="20"/>
        </w:rPr>
        <w:t xml:space="preserve"> (No Rights Agreement; Anti-Takeover Provisions)) or (b) the disclosure letter delivered by the Company to Parent and Merger Sub prior to the execution and delivery of this Agreement (which shall be arranged and in numbered and lettered sections corresponding to the numbered and lettered sections contained in this </w:t>
      </w:r>
      <w:r>
        <w:rPr>
          <w:rFonts w:ascii="Times New Roman" w:hAnsi="Times New Roman"/>
          <w:color w:val="000000"/>
          <w:sz w:val="20"/>
          <w:u w:val="single"/>
        </w:rPr>
        <w:t>Article III</w:t>
      </w:r>
      <w:r>
        <w:rPr>
          <w:rFonts w:ascii="Times New Roman" w:hAnsi="Times New Roman"/>
          <w:color w:val="000000"/>
          <w:sz w:val="20"/>
        </w:rPr>
        <w:t xml:space="preserve">, and the disclosure in any section shall be deemed to qualify or apply to other sections in this </w:t>
      </w:r>
      <w:r>
        <w:rPr>
          <w:rFonts w:ascii="Times New Roman" w:hAnsi="Times New Roman"/>
          <w:color w:val="000000"/>
          <w:sz w:val="20"/>
          <w:u w:val="single"/>
        </w:rPr>
        <w:t>Article III</w:t>
      </w:r>
      <w:r>
        <w:rPr>
          <w:rFonts w:ascii="Times New Roman" w:hAnsi="Times New Roman"/>
          <w:color w:val="000000"/>
          <w:sz w:val="20"/>
        </w:rPr>
        <w:t xml:space="preserve"> to the extent that it is reasonably apparent on its face that such disclosure also qualifies or applies to such other sections) (the “</w:t>
      </w:r>
      <w:r>
        <w:rPr>
          <w:rFonts w:ascii="Times New Roman" w:hAnsi="Times New Roman"/>
          <w:color w:val="000000"/>
          <w:sz w:val="20"/>
          <w:u w:val="single"/>
        </w:rPr>
        <w:t>Company Disclosure Letter</w:t>
      </w:r>
      <w:r>
        <w:rPr>
          <w:rFonts w:ascii="Times New Roman" w:hAnsi="Times New Roman"/>
          <w:color w:val="000000"/>
          <w:sz w:val="20"/>
        </w:rPr>
        <w:t>”), the Company represents and warrants to Parent and Merger Sub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3.1.          </w:t>
      </w:r>
      <w:r>
        <w:rPr>
          <w:rFonts w:ascii="Times New Roman" w:hAnsi="Times New Roman"/>
          <w:color w:val="000000"/>
          <w:sz w:val="20"/>
          <w:u w:val="single"/>
        </w:rPr>
        <w:t>Organization and Corporate Power; Subsidiaries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Company is a corporation validly existing and in good standing under the Laws of the State of Delaware, with full corporate power and authority to enter into this Agreement and perform its obligations hereunder. The Company has all requisite corporate power and authority and all Permits necessary to own, lease and operate its properties and to carry on its business as it is now being conducted (and all such Permits are in full force and effect), except where the failure to hold such Permits would not have a Company Material Adverse Effect. The Company is duly qualified or authorized to do business and is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have a Company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Each of the Subsidiaries of the Company is duly incorporated or organized, validly existing and in good standing under the Laws of its jurisdiction of incorporation or organization and has all requisite corporate or similar power and authority and all Permits necessary to own, lease and operate its properties and to carry on its business as it is now being conducted (and all such Permits are in full force and effect), except where the failure to hold such Permits would not have a Company Material Adverse Effect. Each of the Subsidiaries of the Company is duly qualified or authorized to do business and is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True and complete copies of the certificate of incorporation or formation and bylaws or similar governing document of the Company and each of its Subsidiaries (the “</w:t>
      </w:r>
      <w:r>
        <w:rPr>
          <w:rFonts w:ascii="Times New Roman" w:hAnsi="Times New Roman"/>
          <w:color w:val="000000"/>
          <w:sz w:val="20"/>
          <w:u w:val="single"/>
        </w:rPr>
        <w:t>Company Organizational Documents</w:t>
      </w:r>
      <w:r>
        <w:rPr>
          <w:rFonts w:ascii="Times New Roman" w:hAnsi="Times New Roman"/>
          <w:color w:val="000000"/>
          <w:sz w:val="20"/>
        </w:rPr>
        <w:t>”), as in effect as of the date of this Agreement, have been heretofore made available to Parent and Merger Sub, and neither the Company nor any Subsidiary of the Company is in material violation of any provisions of the Company Organizational Documents.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         </w:t>
      </w:r>
      <w:r>
        <w:rPr>
          <w:rFonts w:ascii="Times New Roman" w:hAnsi="Times New Roman"/>
          <w:color w:val="000000"/>
          <w:sz w:val="20"/>
          <w:u w:val="single"/>
        </w:rPr>
        <w:t>Authorization; Valid and Binding Agreement</w:t>
      </w:r>
      <w:r>
        <w:rPr>
          <w:rFonts w:ascii="Times New Roman" w:hAnsi="Times New Roman"/>
          <w:color w:val="000000"/>
          <w:sz w:val="20"/>
        </w:rPr>
        <w:t>.  The Company has all requisite corporate power and authority to execute and deliver this Agreement, to perform its obligations hereunder and, subject to the adoption of this Agreement by holders of at least a majority of the outstanding Shares (the “</w:t>
      </w:r>
      <w:r>
        <w:rPr>
          <w:rFonts w:ascii="Times New Roman" w:hAnsi="Times New Roman"/>
          <w:color w:val="000000"/>
          <w:sz w:val="20"/>
          <w:u w:val="single"/>
        </w:rPr>
        <w:t>Company Stockholder Approval</w:t>
      </w:r>
      <w:r>
        <w:rPr>
          <w:rFonts w:ascii="Times New Roman" w:hAnsi="Times New Roman"/>
          <w:color w:val="000000"/>
          <w:sz w:val="20"/>
        </w:rPr>
        <w:t>”), to consummate the Merger. The Company Board, at a meeting duly called and held, duly and unanimously adopted resolutions that (a) determined that this Agreement and the Contemplated Transactions are advisable, fair to and in the best interests of, the Company and the holders of the Shares, (b) duly authorized and approved the execution and delivery of this Agreement by the Company, the performance by the Company of its covenants and other obligations hereunder, and the consummation of the Contemplated Transactions upon the terms and subject to the conditions set forth herein, and (c) resolved to recommend that the holders of the Shares adopt this Agreement at such meeting of the Company’s stockholders held for such purpose and any adjournment or postponement thereof, which actions have not, as of the date of this Agreement, been rescinded, modified or withdrawn. No other corporate action pursuant to the Laws of the State of Delaware, on the part of the Company, is necessary to authorize this Agreement. The Company has duly executed and delivered this Agreement and, assuming the due authorization, execution and delivery by Parent and Merger Sub, this Agreement constitutes its legal, valid and binding obligation, enforceable against it in accordance with its terms except as enforcement may be limited by bankruptcy, insolvency, reorganization or similar laws affecting creditors’ rights generally and by general principles of equity.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3.3.         </w:t>
      </w:r>
      <w:r>
        <w:rPr>
          <w:rFonts w:ascii="Times New Roman" w:hAnsi="Times New Roman"/>
          <w:color w:val="000000"/>
          <w:sz w:val="20"/>
          <w:u w:val="single"/>
        </w:rPr>
        <w:t>Capital Stock</w:t>
      </w:r>
      <w:r>
        <w:rPr>
          <w:rFonts w:ascii="Times New Roman" w:hAnsi="Times New Roman"/>
          <w:color w:val="000000"/>
          <w:sz w:val="20"/>
        </w:rPr>
        <w:t>.</w:t>
      </w:r>
    </w:p>
    <w:p>
      <w:pPr>
        <w:pStyle w:val="TextBody"/>
        <w:bidi w:val="0"/>
        <w:spacing w:before="0" w:after="0"/>
        <w:jc w:val="left"/>
        <w:rPr>
          <w:color w:val="000000"/>
        </w:rPr>
      </w:pPr>
      <w:r>
        <w:rPr>
          <w:color w:val="000000"/>
        </w:rPr>
        <w:t xml:space="preserve">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authorized capital stock of the Company consists of 750,000,000 Shares and 37,500,000 shares of preferred stock, $0.01 par value per share, of which, as of July 13, 2026 (the “</w:t>
      </w:r>
      <w:r>
        <w:rPr>
          <w:rFonts w:ascii="Times New Roman" w:hAnsi="Times New Roman"/>
          <w:color w:val="000000"/>
          <w:sz w:val="20"/>
          <w:u w:val="single"/>
        </w:rPr>
        <w:t>Measurement Date</w:t>
      </w:r>
      <w:r>
        <w:rPr>
          <w:rFonts w:ascii="Times New Roman" w:hAnsi="Times New Roman"/>
          <w:color w:val="000000"/>
          <w:sz w:val="20"/>
        </w:rPr>
        <w:t>”), (i) 369,954,432 Shares were issued and outstanding, (ii) no shares of preferred stock were issued and outstanding, (iii) 33,195,071 Shares were reserved for issuance under the Company Equity Plan, (iv) 52,374,582 Shares were subject to outstanding Company Stock Options (for Company Stock Options subject to performance-based vesting, assuming applicable performance goals are achieved in full), (v) 7,812,951 Shares were subject to outstanding Company RSUs and (vi) 10,877,216 Shares were subject to outstanding Pre-Funded Warrants.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3.3(b)</w:t>
      </w:r>
      <w:r>
        <w:rPr>
          <w:rFonts w:ascii="Times New Roman" w:hAnsi="Times New Roman"/>
          <w:color w:val="000000"/>
          <w:sz w:val="20"/>
        </w:rPr>
        <w:t> of the Company Disclosure Letter sets forth a true and complete list of each award of incentive equity or equity-based award granted by the Company or a Subsidiary thereof that is outstanding as of the Measurement Date, including Company Stock Options, Company RSUs, and Subsidiary Stock Options (each, an “</w:t>
      </w:r>
      <w:r>
        <w:rPr>
          <w:rFonts w:ascii="Times New Roman" w:hAnsi="Times New Roman"/>
          <w:color w:val="000000"/>
          <w:sz w:val="20"/>
          <w:u w:val="single"/>
        </w:rPr>
        <w:t>Equity Award</w:t>
      </w:r>
      <w:r>
        <w:rPr>
          <w:rFonts w:ascii="Times New Roman" w:hAnsi="Times New Roman"/>
          <w:color w:val="000000"/>
          <w:sz w:val="20"/>
        </w:rPr>
        <w:t>”), that includes, as applicable, (i) the holder thereof, (ii) the type of award (e.g., incentive stock option, non-qualified stock option, hurdle share option, restricted stock unit), (iii) the number of vested and unvested shares of stock subject thereto, (iv) the per share exercise price, (v) the date of grant, (vi) the vesting terms (including performance vesting conditions), (vii) the Company Equity Plan or Subsidiary Equity Plan under which the Equity Award was granted, (viii) in the case of each Company Stock Option or Subsidiary Stock Option, the expiration date, and (ix) the issuing entity.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Section 3.3(c)</w:t>
      </w:r>
      <w:r>
        <w:rPr>
          <w:rFonts w:ascii="Times New Roman" w:hAnsi="Times New Roman"/>
          <w:color w:val="000000"/>
          <w:sz w:val="20"/>
        </w:rPr>
        <w:t> of the Company Disclosure Letter sets forth as of the Measurement Date, the name of each registered holder (and, if different, beneficial owner) of all issued and outstanding Pre-Funded Warrants, the number of Pre-Funded Warrants held by such holder and the number of shares of Company Common Stock into which such Pre-Funded Warrants are exercisable. Each Pre-Funded Warrant was duly authorized no later than the date on which the grant of such Pre-Funded Warrant was by its terms to be effective.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All Equity Awards were granted and have at all times been administered in all material respects in compliance with the terms of the applicable Company Equity Plan or Subsidiary Equity Plan and award agreement governing the terms of such Equity Award. Each Company Stock Option has a per Share exercise price that was no less than the fair market value of a share of Company Common Stock on the date of grant as determined in accordance with Section 409A and Section 422 of the Code, as applicable. Each Subsidiary Stock Option has a per share exercise price that was no less than the fair market value of a share of such Subsidiary’s common stock on the date of grant as determined in accordance with Section 409A and Section 422 of the Code, as applicable.  Each Company Stock Option, Company RSU, and Subsidiary Stock Option granted to or held by a U.S. taxpayer is exempt from Section 409A of the Code. Each Company Stock Option and Subsidiary Stock Option  that is intended to qualify as an “incentive stock option” satisfies the requirements of Section 422 of the Code. Neither the Company nor any of its Subsidiaries  is a party to any agreement or arrangement (whether in writing or otherwise), and there is no agreement or arrangement with respect to which the Company or any of its Subsidiaries has or could expect to have Liability, in each case, that contains a promise or commitment to grant an incentive equity award or equity-based award under the Company Equity Plans, Subsidiary Equity Plans, or otherwise that has not been satisfied by the Company or the relevant Subsidiary thereof, as applicable, as of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The Subsidiaries set forth on </w:t>
      </w:r>
      <w:r>
        <w:rPr>
          <w:rFonts w:ascii="Times New Roman" w:hAnsi="Times New Roman"/>
          <w:color w:val="000000"/>
          <w:sz w:val="20"/>
          <w:u w:val="single"/>
        </w:rPr>
        <w:t>Section 3.3(e)</w:t>
      </w:r>
      <w:r>
        <w:rPr>
          <w:rFonts w:ascii="Times New Roman" w:hAnsi="Times New Roman"/>
          <w:color w:val="000000"/>
          <w:sz w:val="20"/>
        </w:rPr>
        <w:t xml:space="preserve"> of the Company Disclosure Letter are the only Subsidiaries of the Company. Other than as indicated in </w:t>
      </w:r>
      <w:r>
        <w:rPr>
          <w:rFonts w:ascii="Times New Roman" w:hAnsi="Times New Roman"/>
          <w:color w:val="000000"/>
          <w:sz w:val="20"/>
          <w:u w:val="single"/>
        </w:rPr>
        <w:t>Section 3.3(e)</w:t>
      </w:r>
      <w:r>
        <w:rPr>
          <w:rFonts w:ascii="Times New Roman" w:hAnsi="Times New Roman"/>
          <w:color w:val="000000"/>
          <w:sz w:val="20"/>
        </w:rPr>
        <w:t xml:space="preserve"> of the Company Disclosure Letter, each Subsidiary of the Company is wholly owned by the Company, free and clear of any Liens (other than Permitted Liens), and its authorized capital stock and the capital stock of each Subsidiary held by the Company or its respective Subsidiary is set forth opposite the name of such Subsidiary on </w:t>
      </w:r>
      <w:r>
        <w:rPr>
          <w:rFonts w:ascii="Times New Roman" w:hAnsi="Times New Roman"/>
          <w:color w:val="000000"/>
          <w:sz w:val="20"/>
          <w:u w:val="single"/>
        </w:rPr>
        <w:t>Section 3.3(e)</w:t>
      </w:r>
      <w:r>
        <w:rPr>
          <w:rFonts w:ascii="Times New Roman" w:hAnsi="Times New Roman"/>
          <w:color w:val="000000"/>
          <w:sz w:val="20"/>
        </w:rPr>
        <w:t xml:space="preserve"> of the Company Disclosure Letter. Except as set forth on </w:t>
      </w:r>
      <w:r>
        <w:rPr>
          <w:rFonts w:ascii="Times New Roman" w:hAnsi="Times New Roman"/>
          <w:color w:val="000000"/>
          <w:sz w:val="20"/>
          <w:u w:val="single"/>
        </w:rPr>
        <w:t>Section 3.3(e)</w:t>
      </w:r>
      <w:r>
        <w:rPr>
          <w:rFonts w:ascii="Times New Roman" w:hAnsi="Times New Roman"/>
          <w:color w:val="000000"/>
          <w:sz w:val="20"/>
        </w:rPr>
        <w:t xml:space="preserve"> of the Company Disclosure Letter, the Company does not own, directly or indirectly, any capital stock or restricted stock of, or other equity interest or voting security in, or any interest convertible into or exchangeable or exercisable for any capital stock or restricted stock of, or other equity interest or voting security in, any Person other than the Subsidiaries of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Except as disclosed in </w:t>
      </w:r>
      <w:r>
        <w:rPr>
          <w:rFonts w:ascii="Times New Roman" w:hAnsi="Times New Roman"/>
          <w:color w:val="000000"/>
          <w:sz w:val="20"/>
          <w:u w:val="single"/>
        </w:rPr>
        <w:t>Section 3.3</w:t>
      </w:r>
      <w:r>
        <w:rPr>
          <w:rFonts w:ascii="Times New Roman" w:hAnsi="Times New Roman"/>
          <w:color w:val="000000"/>
          <w:sz w:val="20"/>
        </w:rPr>
        <w:t xml:space="preserve"> of the Company Disclosure Letter, neither the Company nor any of its Subsidiaries has any outstanding (i) shares of capital stock, restricted stock or other equity interests or voting securities, (ii) securities convertible, exchangeable or exercisable, directly or indirectly, into or for capital stock, restricted stock or other equity interests or voting securities of the Company or its Subsidiaries (as applicable), (iii) options, warrants, purchase rights, subscription rights, preemptive rights, anti-dilutive rights, conversion rights, exchange rights, exercise rights, calls, puts, rights of first refusal or other Contracts that require the Company or its Subsidiaries (as applicable) to issue, sell or otherwise cause to become outstanding or to acquire, repurchase or redeem capital stock, restricted stock or other equity interests or voting securities of the Company or its Subsidiaries (as applicable) (other than the Pre-Funded Warrants or pursuant to the cashless exercise of Company Stock Options or the withholding of taxes with respect to Company Stock Options or Company RSUs), or securities convertible, exchangeable or exercisable, directly or indirectly, into or for capital stock, restricted stock or other equity interests, equity-based awards or voting securities of the Company or its Subsidiaries (as applicable), (iv) obligation to grant, extend or enter into any options, warrants, purchase rights, subscription rights, preemptive rights, conversion rights, exchange rights, exercise rights, calls, puts, rights of first refusal or other Contracts that require the Company or its Subsidiaries (as applicable) to issue, sell or otherwise cause to become outstanding or to acquire, repurchase or redeem capital stock, restricted stock or other equity interests or voting securities of the Company or its Subsidiaries (as applicable), or securities convertible, exchangeable or exercisable, directly or indirectly, into or for capital stock, restricted stock or other equity interests or voting securities of the Company or its Subsidiaries (as applicable), (v) stock appreciation, phantom stock, restricted stock units, performance stock units, profit participation or similar rights with respect to the Company or its Subsidiaries (as applicable), (vi) bonds, debentures, notes or other indebtedness of the Company or its Subsidiaries (as applicable) having the right to vote on any matters on which the Company’s or any of its Subsidiaries’ (as applicable) stockholders may vote, or (vii) obligations by the Company or its Subsidiaries to make any payments based on the price or value of any of the foregoing securities or interests covered in clauses (i) through (vii) above (collectively, including the Shares and equity interests of the Company’s Subsidiaries, the “</w:t>
      </w:r>
      <w:r>
        <w:rPr>
          <w:rFonts w:ascii="Times New Roman" w:hAnsi="Times New Roman"/>
          <w:color w:val="000000"/>
          <w:sz w:val="20"/>
          <w:u w:val="single"/>
        </w:rPr>
        <w:t>Company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There are no outstanding agreements of any kind which obligate the Company or its Subsidiaries to repurchase, redeem or otherwise acquire any Company Securities or obligate the Company to grant, extend or enter into any such agreements relating to any Company Securities, including any agreements granting any preemptive rights, subscription rights, anti-dilutive rights, call or rights of first refusal or similar rights with respect to any Company Securities. Except as set forth in </w:t>
      </w:r>
      <w:r>
        <w:rPr>
          <w:rFonts w:ascii="Times New Roman" w:hAnsi="Times New Roman"/>
          <w:color w:val="000000"/>
          <w:sz w:val="20"/>
          <w:u w:val="single"/>
        </w:rPr>
        <w:t>Section 3.3(g)</w:t>
      </w:r>
      <w:r>
        <w:rPr>
          <w:rFonts w:ascii="Times New Roman" w:hAnsi="Times New Roman"/>
          <w:color w:val="000000"/>
          <w:sz w:val="20"/>
        </w:rPr>
        <w:t xml:space="preserve"> of the Company Disclosure Letter, neither the Company nor any of its Subsidiaries is party to any stockholders’ agreement, voting trust agreement, registration rights agreement or other similar agreement or understanding with respect to any Company Securities or any other agreement with respect to the disposition or voting of, or dividends with respect to, any Company Securities. All outstanding Shares are and all Shares issued upon exercise of Company Stock Options or settlement of Company RSUs will be, when issued, duly authorized and validly issued, and are, or will be, as applicable, fully paid, non-assessable and free of preemptive rights, rights of first refusal or similar rights. Neither the Company nor any of its Subsidiaries has any Contract pursuant to which it is obligated to make any equity investment (in the form of a capital contribution or otherwise) in any Person (other than the Company with respect to its wholly owned Subsidiaries).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Except as disclosed in </w:t>
      </w:r>
      <w:r>
        <w:rPr>
          <w:rFonts w:ascii="Times New Roman" w:hAnsi="Times New Roman"/>
          <w:color w:val="000000"/>
          <w:sz w:val="20"/>
          <w:u w:val="single"/>
        </w:rPr>
        <w:t>Section 3.3(h)</w:t>
      </w:r>
      <w:r>
        <w:rPr>
          <w:rFonts w:ascii="Times New Roman" w:hAnsi="Times New Roman"/>
          <w:color w:val="000000"/>
          <w:sz w:val="20"/>
        </w:rPr>
        <w:t xml:space="preserve"> of the Company Disclosure Letter, (i) the Company has not delivered an issuance notice to the Sales Agent; (ii) there are no pending or active issuance notices pursuant to the Sales Agreement; and (iii) no documentation relating to, or notice of, this Agreement is required to be provided to the Sales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3.4.       </w:t>
      </w:r>
      <w:r>
        <w:rPr>
          <w:rFonts w:ascii="Times New Roman" w:hAnsi="Times New Roman"/>
          <w:color w:val="000000"/>
          <w:sz w:val="20"/>
          <w:u w:val="single"/>
        </w:rPr>
        <w:t>No Breach</w:t>
      </w:r>
      <w:r>
        <w:rPr>
          <w:rFonts w:ascii="Times New Roman" w:hAnsi="Times New Roman"/>
          <w:color w:val="000000"/>
          <w:sz w:val="20"/>
        </w:rPr>
        <w:t xml:space="preserve">. Assuming the accuracy of the representation set forth in </w:t>
      </w:r>
      <w:r>
        <w:rPr>
          <w:rFonts w:ascii="Times New Roman" w:hAnsi="Times New Roman"/>
          <w:color w:val="000000"/>
          <w:sz w:val="20"/>
          <w:u w:val="single"/>
        </w:rPr>
        <w:t>Section 4.9</w:t>
      </w:r>
      <w:r>
        <w:rPr>
          <w:rFonts w:ascii="Times New Roman" w:hAnsi="Times New Roman"/>
          <w:color w:val="000000"/>
          <w:sz w:val="20"/>
        </w:rPr>
        <w:t xml:space="preserve">, the execution, delivery and performance of this Agreement by the Company and the consummation of the Contemplated Transactions do not (a) conflict with or violate the Company Organizational Documents, (b) assuming all consents, approvals, authorizations and other actions described in </w:t>
      </w:r>
      <w:r>
        <w:rPr>
          <w:rFonts w:ascii="Times New Roman" w:hAnsi="Times New Roman"/>
          <w:color w:val="000000"/>
          <w:sz w:val="20"/>
          <w:u w:val="single"/>
        </w:rPr>
        <w:t>Section 3.5</w:t>
      </w:r>
      <w:r>
        <w:rPr>
          <w:rFonts w:ascii="Times New Roman" w:hAnsi="Times New Roman"/>
          <w:color w:val="000000"/>
          <w:sz w:val="20"/>
        </w:rPr>
        <w:t xml:space="preserve"> have been obtained, and all filings and obligations described in </w:t>
      </w:r>
      <w:r>
        <w:rPr>
          <w:rFonts w:ascii="Times New Roman" w:hAnsi="Times New Roman"/>
          <w:color w:val="000000"/>
          <w:sz w:val="20"/>
          <w:u w:val="single"/>
        </w:rPr>
        <w:t>Section 3.5</w:t>
      </w:r>
      <w:r>
        <w:rPr>
          <w:rFonts w:ascii="Times New Roman" w:hAnsi="Times New Roman"/>
          <w:color w:val="000000"/>
          <w:sz w:val="20"/>
        </w:rPr>
        <w:t xml:space="preserve"> have been made, conflict with or violate any Law, order, judgment or decree to which the Company or any of its properties or assets is subject, except any conflicts or violations which would not have a Company Material Adverse Effect, or (c) conflict with or result in any breach of, constitute a default under (with or without notice or lapse of time), result in a violation of, give rise to a right of termination, cancellation or acceleration or result in the creation of a Lien (other than a Permitted Lien) upon any of the properties or assets of the Company or any of its Subsidiaries under, any Company Material Contract, except any conflicts, breaches, defaults, violations, terminations, cancellations or accelerations that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3.5.      </w:t>
      </w:r>
      <w:r>
        <w:rPr>
          <w:rFonts w:ascii="Times New Roman" w:hAnsi="Times New Roman"/>
          <w:color w:val="000000"/>
          <w:sz w:val="20"/>
          <w:u w:val="single"/>
        </w:rPr>
        <w:t>Consents</w:t>
      </w:r>
      <w:r>
        <w:rPr>
          <w:rFonts w:ascii="Times New Roman" w:hAnsi="Times New Roman"/>
          <w:color w:val="000000"/>
          <w:sz w:val="20"/>
        </w:rPr>
        <w:t>. Except for (a) the applicable requirements of Antitrust and FDI Laws, (b) applicable requirements of the Exchange Act, (c) any filings required by The Nasdaq Global Market (“</w:t>
      </w:r>
      <w:r>
        <w:rPr>
          <w:rFonts w:ascii="Times New Roman" w:hAnsi="Times New Roman"/>
          <w:color w:val="000000"/>
          <w:sz w:val="20"/>
          <w:u w:val="single"/>
        </w:rPr>
        <w:t>Nasdaq</w:t>
      </w:r>
      <w:r>
        <w:rPr>
          <w:rFonts w:ascii="Times New Roman" w:hAnsi="Times New Roman"/>
          <w:color w:val="000000"/>
          <w:sz w:val="20"/>
        </w:rPr>
        <w:t>”), (d) the filing of the Certificate of Merger, (e) the filing of applications, consents, approvals, authorizations and notices, as required by the FDA and any other federal, state, local or foreign Governmental Body that is concerned with or regulates the research, development, marketing, sale, use, handling and control, safety, efficacy, reliability or manufacturing of drug or biological products or medical devices or is concerned with or regulates public health care programs and (f) any filings with the relevant authorities of jurisdictions in which the Company or any of its Subsidiaries is qualified to do business, in each case, neither the Company nor any of its Subsidiaries are required to submit any notice, report or other filing with any Governmental Body in connection with the execution, delivery or performance by it of this Agreement or the consummation of the Contemplated Transactions and, other than as stated above, no consent, approval or authorization of any Governmental Body or any other party or Person is required to be obtained by the Company or any of its Subsidiaries in connection with its execution, delivery and performance of this Agreement or the consummation of the Contemplated Transactions, except for those filings, consents, approvals and authorizations the failure of which to be obtained would not have a Company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3.6.         </w:t>
      </w:r>
      <w:r>
        <w:rPr>
          <w:rFonts w:ascii="Times New Roman" w:hAnsi="Times New Roman"/>
          <w:color w:val="000000"/>
          <w:sz w:val="20"/>
          <w:u w:val="single"/>
        </w:rPr>
        <w:t>SEC Reports; Disclosure Controls and Procedures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Company has timely filed or furnished all reports, schedules, forms, statements and other documents (including exhibits thereto and all other information incorporated by reference therein) required to be filed or furnished by the Company with the U.S. Securities and Exchange Commission (the “</w:t>
      </w:r>
      <w:r>
        <w:rPr>
          <w:rFonts w:ascii="Times New Roman" w:hAnsi="Times New Roman"/>
          <w:color w:val="000000"/>
          <w:sz w:val="20"/>
          <w:u w:val="single"/>
        </w:rPr>
        <w:t>SEC</w:t>
      </w:r>
      <w:r>
        <w:rPr>
          <w:rFonts w:ascii="Times New Roman" w:hAnsi="Times New Roman"/>
          <w:color w:val="000000"/>
          <w:sz w:val="20"/>
        </w:rPr>
        <w:t>”) since January 1, 2024 (such reports, schedules, forms, statements and other documents, the “</w:t>
      </w:r>
      <w:r>
        <w:rPr>
          <w:rFonts w:ascii="Times New Roman" w:hAnsi="Times New Roman"/>
          <w:color w:val="000000"/>
          <w:sz w:val="20"/>
          <w:u w:val="single"/>
        </w:rPr>
        <w:t>Company SEC Documents</w:t>
      </w:r>
      <w:r>
        <w:rPr>
          <w:rFonts w:ascii="Times New Roman" w:hAnsi="Times New Roman"/>
          <w:color w:val="000000"/>
          <w:sz w:val="20"/>
        </w:rPr>
        <w:t>”). As of their respective filing dates (or, if amended, supplemented or superseded by a filing, then on the date of such amendment, supplement or superseding filing) (and, in the case of registration statements on the dates of effectiveness): (i) each of the Company SEC Documents complied in all material respects with the applicable requirements of the Securities Act of 1933 as amended (the “</w:t>
      </w:r>
      <w:r>
        <w:rPr>
          <w:rFonts w:ascii="Times New Roman" w:hAnsi="Times New Roman"/>
          <w:color w:val="000000"/>
          <w:sz w:val="20"/>
          <w:u w:val="single"/>
        </w:rPr>
        <w:t>Securities Act</w:t>
      </w:r>
      <w:r>
        <w:rPr>
          <w:rFonts w:ascii="Times New Roman" w:hAnsi="Times New Roman"/>
          <w:color w:val="000000"/>
          <w:sz w:val="20"/>
        </w:rPr>
        <w:t>”), the Exchange Act or Sarbanes-Oxley, as applicable to such Company SEC Documents, and the rules and regulations of the SEC promulgated thereunder applicable to such Company SEC Documents, as in effect on the date of effectiveness (in the case of registration statements) and as of their respective SEC filing dates or, if amended, supplemented or superseded prior to the date hereof, the date of the filing of such amendment, supplement or superseding filing with respect to the portions that are amended, supplemented or superseded (in the case of all other Company SEC Documents) so filed, and (ii)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As of the date hereof, there are no outstanding or unresolved comments in any comment letters of the staff of the SEC relating to the Company SEC Documents and none of the Company SEC Documents is, to the Knowledge of the Company, the subject of ongoing SEC review. None of the Subsidiaries of the Company are required to file or furnish any forms, reports, schedules, statements or other documents with the SEC or any foreign equivalent agency.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consolidated financial statements (including any notes thereto)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(iii) fairly presented in all material respects the consolidated financial position of the Company and its consolidated Subsidiaries as of the respective dates thereof and the consolidated results of operations and cash flows of the Company and its Subsidiaries for the periods covered thereby (except as may be indicated in the notes thereto and subject, in the case of unaudited statements, to the absence of footnote disclosure and to normal and recurring year-end audit adjustments not material in amount).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Company has designed and maintains, and at all times since January 1, 2024 has maintained, a system of internal control over financial reporting (as defined in Rules 13a–15(f) and 15d–15(f) of the Exchange Act) sufficient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acquisitions, use or disposition of the assets of the Company that could have a material effect on the financial statements. Since January 1, 2024, neither the Company nor, to the Knowledge of the Company, the Company’s independent registered accountant has identified or been made aware of: (x) any “significant deficiency” or “material weakness” (as defined by the Public Company Accounting Oversight Board) in the design or operation of internal control over financial reporting utilized by the Company; (y) with respect to the management or other employees of the Company who have a significant role in the Company’s internal control over financial reporting, any illegal act (with respect to or pertaining to the Company or when acting in his or her capacity as an employee of the Company) or any fraud, whether or not material; or (z) any claim or allegation regarding any of the foregoing.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The Company (i) has designed and maintains, and at all times since January 1, 2024 has maintained, disclosure controls and procedures (as defined in Rules 13a– 15(e) and 15d–15(e) of the Exchange Act) to provide reasonable assurance that all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(ii) has disclosed, based on its most recent evaluation of its disclosure controls and procedures and internal control over financial reporting prior to the date of this Agreement, to the Company’s auditors and the audit committee of the Company Board (A) any significant deficiencies and material weaknesses in the design or operation of its internal control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Since January 1, 2024, any material change in internal control over financial reporting required to be disclosed in any Company SEC Document has been so disclosed.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Since January 1, 2024, neither the Company, nor any of its Subsidiaries or, to the Knowledge of the Company, any director, officer, employee, auditor, accountant or Representative of the Company, has received a material written complaint, allegation, assertion or claim regarding deficiencies in the accounting or auditing practices, procedures, methodologies or methods of the Company, or its internal accounting controls, including any material complaint, allegation, assertion or claim that the Company or any of its Subsidiaries has engaged in questionable accounting or auditing practices, or any related material allegation regarding management or other employees who have a significant role in the Company’s internal control over financial reporting. Neither the Company nor its principal executive officer or principal financial officer has received written notice from any Governmental Body challenging or questioning the Company’s accounting practices, methodologies or methods or the accuracy, completeness, form or manner of filing of any certifications required by Rules 13a-14 and 15d-14 under the Exchange Act and Sections 302 and 906 of Sarbanes-Oxley.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None of the Company, any of its Subsidiaries (excluding the Non-Controlled VIE) or, to the Knowledge of the Company, the Non-Controlled VIE, has effected, entered into or created any securitization transaction or “off-balance sheet arrangement” (as defined in Item 303(c) or Regulation S-K under the Exchange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3.7.       </w:t>
      </w:r>
      <w:r>
        <w:rPr>
          <w:rFonts w:ascii="Times New Roman" w:hAnsi="Times New Roman"/>
          <w:color w:val="000000"/>
          <w:sz w:val="20"/>
          <w:u w:val="single"/>
        </w:rPr>
        <w:t>No Undisclosed Liabilities</w:t>
      </w:r>
      <w:r>
        <w:rPr>
          <w:rFonts w:ascii="Times New Roman" w:hAnsi="Times New Roman"/>
          <w:color w:val="000000"/>
          <w:sz w:val="20"/>
        </w:rPr>
        <w:t xml:space="preserve">. Except (a) as and to the extent disclosed or reserved against on the consolidated unaudited balance sheet or notes to the financial statements of the Company and its Subsidiaries as of the Company Balance Sheet Date, that is included in the Company SEC Documents, (b) as incurred in the ordinary course of business consistent with past practice since the Company Balance Sheet Date, (c) incurred in connection with this Agreement or the Contemplated Transactions, or (d) as set forth in </w:t>
      </w:r>
      <w:r>
        <w:rPr>
          <w:rFonts w:ascii="Times New Roman" w:hAnsi="Times New Roman"/>
          <w:color w:val="000000"/>
          <w:sz w:val="20"/>
          <w:u w:val="single"/>
        </w:rPr>
        <w:t>Section 3.7</w:t>
      </w:r>
      <w:r>
        <w:rPr>
          <w:rFonts w:ascii="Times New Roman" w:hAnsi="Times New Roman"/>
          <w:color w:val="000000"/>
          <w:sz w:val="20"/>
        </w:rPr>
        <w:t xml:space="preserve"> of the Company Disclosure Letter, none of the Company, any of its Subsidiaries (excluding the Non-Controlled VIE) or, to the Knowledge of the Company, the Non-Controlled VIE, has any material liabilities or obligations of any nature, whether known or unknown, absolute, accrued, contingent or otherwise and whether due or to become due, in each case required by GAAP to be reflected or reserved against in the balance sheet of the Company (or disclosed in the notes to such balance sheet).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3.8.         </w:t>
      </w:r>
      <w:r>
        <w:rPr>
          <w:rFonts w:ascii="Times New Roman" w:hAnsi="Times New Roman"/>
          <w:color w:val="000000"/>
          <w:sz w:val="20"/>
          <w:u w:val="single"/>
        </w:rPr>
        <w:t>Absence of Certain Developments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From the Company Balance Sheet Date to the date of this Agreement, the Company and its Subsidiaries have not experienced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Except in connection with the Contemplated Transactions, from the Company Balance Sheet Date to the date of this Agreement, the Company and each of its Subsidiaries has carried on and operated its business in the ordinary course of business in all material respects (except for discussions, negotiations and transactions related to this Agreement or other potential strategic transactions), and none of the Company or any of its Subsidiaries (except for the Non-Controlled VIE) or, to the Knowledge of the Company, the Non-Controlled VIE, have taken, committed or agreed to take any actions that would have been prohibited by </w:t>
      </w:r>
      <w:r>
        <w:rPr>
          <w:rFonts w:ascii="Times New Roman" w:hAnsi="Times New Roman"/>
          <w:color w:val="000000"/>
          <w:sz w:val="20"/>
          <w:u w:val="single"/>
        </w:rPr>
        <w:t>Section 5.1(b)</w:t>
      </w:r>
      <w:r>
        <w:rPr>
          <w:rFonts w:ascii="Times New Roman" w:hAnsi="Times New Roman"/>
          <w:color w:val="000000"/>
          <w:sz w:val="20"/>
        </w:rPr>
        <w:t xml:space="preserve"> (other than </w:t>
      </w:r>
      <w:r>
        <w:rPr>
          <w:rFonts w:ascii="Times New Roman" w:hAnsi="Times New Roman"/>
          <w:color w:val="000000"/>
          <w:sz w:val="20"/>
          <w:u w:val="single"/>
        </w:rPr>
        <w:t>Section 5.1(b)(i)</w:t>
      </w:r>
      <w:r>
        <w:rPr>
          <w:rFonts w:ascii="Times New Roman" w:hAnsi="Times New Roman"/>
          <w:color w:val="000000"/>
          <w:sz w:val="20"/>
        </w:rPr>
        <w:t xml:space="preserve"> (</w:t>
      </w:r>
      <w:r>
        <w:rPr>
          <w:rFonts w:ascii="Times New Roman" w:hAnsi="Times New Roman"/>
          <w:i/>
          <w:color w:val="000000"/>
          <w:sz w:val="20"/>
        </w:rPr>
        <w:t>Dividends; Acquisition of Company Securities</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w:t>
      </w:r>
      <w:r>
        <w:rPr>
          <w:rFonts w:ascii="Times New Roman" w:hAnsi="Times New Roman"/>
          <w:i/>
          <w:color w:val="000000"/>
          <w:sz w:val="20"/>
        </w:rPr>
        <w:t>Issuance of Company Securities</w:t>
      </w:r>
      <w:r>
        <w:rPr>
          <w:rFonts w:ascii="Times New Roman" w:hAnsi="Times New Roman"/>
          <w:color w:val="000000"/>
          <w:sz w:val="20"/>
        </w:rPr>
        <w:t xml:space="preserve">), </w:t>
      </w:r>
      <w:r>
        <w:rPr>
          <w:rFonts w:ascii="Times New Roman" w:hAnsi="Times New Roman"/>
          <w:color w:val="000000"/>
          <w:sz w:val="20"/>
          <w:u w:val="single"/>
        </w:rPr>
        <w:t>(iii)</w:t>
      </w:r>
      <w:r>
        <w:rPr>
          <w:rFonts w:ascii="Times New Roman" w:hAnsi="Times New Roman"/>
          <w:color w:val="000000"/>
          <w:sz w:val="20"/>
        </w:rPr>
        <w:t xml:space="preserve"> (</w:t>
      </w:r>
      <w:r>
        <w:rPr>
          <w:rFonts w:ascii="Times New Roman" w:hAnsi="Times New Roman"/>
          <w:i/>
          <w:color w:val="000000"/>
          <w:sz w:val="20"/>
        </w:rPr>
        <w:t>Compensation; Benefits</w:t>
      </w:r>
      <w:r>
        <w:rPr>
          <w:rFonts w:ascii="Times New Roman" w:hAnsi="Times New Roman"/>
          <w:color w:val="000000"/>
          <w:sz w:val="20"/>
        </w:rPr>
        <w:t>), and (xviii) (</w:t>
      </w:r>
      <w:r>
        <w:rPr>
          <w:rFonts w:ascii="Times New Roman" w:hAnsi="Times New Roman"/>
          <w:i/>
          <w:color w:val="000000"/>
          <w:sz w:val="20"/>
        </w:rPr>
        <w:t>Material Contracts</w:t>
      </w:r>
      <w:r>
        <w:rPr>
          <w:rFonts w:ascii="Times New Roman" w:hAnsi="Times New Roman"/>
          <w:color w:val="000000"/>
          <w:sz w:val="20"/>
        </w:rPr>
        <w:t>)) if such covenants had been in effect as of the Company Balance Sheet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3.9.          </w:t>
      </w:r>
      <w:r>
        <w:rPr>
          <w:rFonts w:ascii="Times New Roman" w:hAnsi="Times New Roman"/>
          <w:color w:val="000000"/>
          <w:sz w:val="20"/>
          <w:u w:val="single"/>
        </w:rPr>
        <w:t>Compliance with Laws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Each of the Company and its Subsidiaries (except for the Non-Controlled VIE), and, to the Knowledge of the Company, the Non-Controlled VIE, is, and has been, since January 1, 2024, in compliance, in all material respects, with all Laws applicable to it, any of its properties or other assets, or its business or operations.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Since January 1, 2024: (i) neither the Company nor any of its Subsidiaries (provided that, in the case of (A), such representation is made solely as to the Knowledge of the Company in respect of the Non-Controlled VIE) has received any written notice or communication from any Governmental Body, or written notice or communication from any Person, that alleges (A) any material violation or noncompliance (or reflects that the Company or any of its Subsidiaries is under investigation or the subject or target of an inquiry or has threatened to be charged by any such Governmental Body for such alleged noncompliance) with any applicable Law or (B) any material fine, assessment or cease and desist order, or the suspension, revocation or limitation or restriction of any Permit, and (ii) neither the Company nor any of its Subsidiaries entered into any agreement or settlement with any Governmental Body or Person with respect to its alleged material noncompliance with, or violation of,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Since January 1, 2024: (i) each of the Company and its Subsidiaries (excluding the VIEs), and, to the Knowledge of the Company, the VIEs, has timely filed all material regulatory applications, notices, reports, schedules, statements, documents, filings, submissions, forms, registrations and other documents, together with any supplements and amendments required to be made with respect thereto, and has maintained all material reports, records, and documents, that each was required to file or maintain with any Governmental Body, including FDA, Drug Enforcement Administration (“DEA”), EMA, MHRA, state health and regulatory authorities and any applicable federal regulatory authorities, and have timely paid all fees and assessments due and payable in connection therewith, and (ii) all such regulatory applications, notices, reports, schedules, statements, documents, filings, submissions, forms, registrations, other documents and records were complete and accurate in all material respects, or were subsequently updated, changed, corrected or modified and none of the Company or any of its Subsidiaries (excluding the VIEs) or, to the Knowledge of the Company, the VIEs, have received any written notice or communication from any applicable Governmental Body alleging any material deficiencies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Since January 1, 2024, the Company, its Subsidiaries and each of their respective officers and directors are in material compliance with, and have complied in all material respects with, (i) the applicable provisions of the Sarbanes-Oxley Act of 2002 and the related rules and regulations promulgated under such act (“</w:t>
      </w:r>
      <w:r>
        <w:rPr>
          <w:rFonts w:ascii="Times New Roman" w:hAnsi="Times New Roman"/>
          <w:color w:val="000000"/>
          <w:sz w:val="20"/>
          <w:u w:val="single"/>
        </w:rPr>
        <w:t>Sarbanes-Oxley</w:t>
      </w:r>
      <w:r>
        <w:rPr>
          <w:rFonts w:ascii="Times New Roman" w:hAnsi="Times New Roman"/>
          <w:color w:val="000000"/>
          <w:sz w:val="20"/>
        </w:rPr>
        <w:t>”) or the Exchange Act and (ii) the applicable listing and corporate governance rules and regulations of Nasdaq.</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3.10.       </w:t>
      </w:r>
      <w:r>
        <w:rPr>
          <w:rFonts w:ascii="Times New Roman" w:hAnsi="Times New Roman"/>
          <w:color w:val="000000"/>
          <w:sz w:val="20"/>
          <w:u w:val="single"/>
        </w:rPr>
        <w:t>Title to Tangible Properties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Company and its Subsidiaries have good and valid title to, or hold pursuant to good, valid and enforceable leases or other comparable contract rights, all tangible personal property and other tangible assets necessary for the conduct of the business of the Company and its Subsidiaries, as currently conducted, in each case free and clear of any Liens (other than Permitted Liens), except where the absence of such title or rights would not have a Company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3.10(b)</w:t>
      </w:r>
      <w:r>
        <w:rPr>
          <w:rFonts w:ascii="Times New Roman" w:hAnsi="Times New Roman"/>
          <w:color w:val="000000"/>
          <w:sz w:val="20"/>
        </w:rPr>
        <w:t xml:space="preserve"> of the Company Disclosure Letter sets forth a true and complete list of all current real property leases of the Company or any of its Subsidiaries (including all subleases, amendments, extensions, and guarantees as of the date of this Agreement) (the “</w:t>
      </w:r>
      <w:r>
        <w:rPr>
          <w:rFonts w:ascii="Times New Roman" w:hAnsi="Times New Roman"/>
          <w:color w:val="000000"/>
          <w:sz w:val="20"/>
          <w:u w:val="single"/>
        </w:rPr>
        <w:t>Company Real Property Leases</w:t>
      </w:r>
      <w:r>
        <w:rPr>
          <w:rFonts w:ascii="Times New Roman" w:hAnsi="Times New Roman"/>
          <w:color w:val="000000"/>
          <w:sz w:val="20"/>
        </w:rPr>
        <w:t>” and the property covered thereunder, the “</w:t>
      </w:r>
      <w:r>
        <w:rPr>
          <w:rFonts w:ascii="Times New Roman" w:hAnsi="Times New Roman"/>
          <w:color w:val="000000"/>
          <w:sz w:val="20"/>
          <w:u w:val="single"/>
        </w:rPr>
        <w:t>Company Real Property</w:t>
      </w:r>
      <w:r>
        <w:rPr>
          <w:rFonts w:ascii="Times New Roman" w:hAnsi="Times New Roman"/>
          <w:color w:val="000000"/>
          <w:sz w:val="20"/>
        </w:rPr>
        <w:t>”), together with the addresses of such Company Real Property, the identity of the landlord and any guarantor, the current monthly or annual rent, the effective date, the expiration date, any renewal options, and any security deposits or letters of credit provided by the Company or its Subsidiaries thereunder, which constitute all real property used, occupied, or leased by the Company or its Subsidiaries. The Company has made available true and correct copies of all Company Real Property Leases. There are no subleases, licenses, occupancy agreements, consents, purchase agreements, or other contracts granting any person (other than the Company) the right to use or occupy the Company Real Property, and no person (other than the Company and its Subsidiaries) is in possession of the Company Real Property. None of the Company or any of its Subsidiaries has collaterally assigned or granted a security interest in any Company Real Property Lease. Each Company Real Property Lease is in full force and effect and is valid, binding and enforceable against the Company or its Subsidiaries (as applicable) and, to the Knowledge of the Company, the other parties thereto, subject to applicable bankruptcy, insolvency, reorganization, fraudulent conveyance or transfer, moratorium or other similar laws affecting creditors’ rights generally, and general principles of equity. The Company and its Subsidiaries have performed all material obligations required under each Company Real Property Lease to date. The Company has not given or received any notice (whether written or oral) of any material violation, breach, or default (with or without notice or lapse of time) under any Company Real Property Lease. None of the Company, its Subsidiaries, or, to the Knowledge of the Company, any other party to the Company Real Property Leases is in material default under any such lease. Neither the Company nor its Subsidiaries has given or received any notice (whether written or oral) of termination or cancellation of, or any intention to terminate or cancel, any Company Real Property Lease (whether as a result of the Contemplated Transactions or otherwise). No event has occurred which, if not remedied, would result in a material default by the Company or its Subsidiaries under any Company Real Property Lease, and, to the Knowledge of the Company, no event has occurred which, if not remedied, would result in a material default by any other party under any such lease. Except as would not have a Company Material Adverse Effect, the Company Real Property is in good condition and repair (ordinary wear and tear excepted), free of any defects, fit for use in the ordinary course of the operation of the business of the Company and its Subsidiaries, and is adequate and suitable for the purposes for which it is currently used in connection with the Company’s and its Subsidiaries’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Neither the Company nor any of its Subsidiaries currently owns or has previously owned any real property, or is a party to any Contract for the purchase, sale, or development of any real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 consent, approval or authorization of any party with respect to the Company Real Property Leases is required to be obtained by the Company or any of its Subsidiaries in connection with its execution, delivery and performance of this Agreement or the consummation of the Contemplated Transactions, except for those consents, approvals and authorizations with respect to the Company Real Property Leases the failure of which to obtain would not be material to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3.11.       </w:t>
      </w:r>
      <w:r>
        <w:rPr>
          <w:rFonts w:ascii="Times New Roman" w:hAnsi="Times New Roman"/>
          <w:color w:val="000000"/>
          <w:sz w:val="20"/>
          <w:u w:val="single"/>
        </w:rPr>
        <w:t>Tax Matters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 Each of the Company and its Subsidiaries (excluding the Non-Controlled VIE), and to the Knowledge of the Company, the Non-Controlled VIE, has timely filed (taking into account any applicable extensions) all material Tax Returns required to be filed by it and such Tax Returns of the Company and its Subsidiaries (excluding the Non-Controlled VIE) are, and with respect to such Tax Returns of the Non-Controlled VIE, to the Company’s Knowledge are, true, complete and correct in all material respects, and (ii) each of the Company and its Subsidiaries (excluding the Non-Controlled VIE), and to the Company’s Knowledge, the Non-Controlled VIE, has timely paid all material Taxes whether or not shown as due and payable on any Tax Return.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There are no Liens for material Taxes (other than Taxes not yet due and payable or the amount or validity of which is being contested in good faith by appropriate proceedings and for which appropriate reserves are established in the financial statements in accordance with GAAP) upon any of the assets of the Company or any of its Subsidiaries (excluding the Non-Controlled VIE), and to the Knowledge of the Company, upon any of the assets of the Non-Controlled VIE.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Company and its Subsidiaries (excluding the Non-Controlled VIE), and to the Knowledge of the Company, the Non-Controlled VIE, have withheld and paid over all material Taxes required to have been withheld and paid over in connection with any amounts paid or owing to any employee, independent contractor, creditor, stockholder or other third party. Neither the Company nor any of its Subsidiaries (excluding the Non-Controlled VIE), and, to the Knowledge of the Company, the Non-Controlled VIE, has applied for or received any loan (or any employee retention credit) established by the Coronavirus Aid, Relief, and Economic Security Act, as it may be amended or modified (the “</w:t>
      </w:r>
      <w:r>
        <w:rPr>
          <w:rFonts w:ascii="Times New Roman" w:hAnsi="Times New Roman"/>
          <w:color w:val="000000"/>
          <w:sz w:val="20"/>
          <w:u w:val="single"/>
        </w:rPr>
        <w:t>CARES Act</w:t>
      </w:r>
      <w:r>
        <w:rPr>
          <w:rFonts w:ascii="Times New Roman" w:hAnsi="Times New Roman"/>
          <w:color w:val="000000"/>
          <w:sz w:val="20"/>
        </w:rPr>
        <w:t>”), including any Small Business Administration Paycheck Protection Program loan.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None of the Company, any of its Subsidiaries (excluding the Non-Controlled VIE), or, to the Knowledge of the Company, the Non-Controlled VIE, has been a party to any “listed transaction” within the meaning of Treasury Regulation Section 1.6011-4(b)(2).</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No deficiency for any material Tax has been asserted or assessed by a Governmental Body in writing (or, to the Knowledge of the Company, otherwise) against the Company or any of its Subsidiaries (excluding the Non-Controlled VIE), and to the Knowledge of the Company, against the Non-Controlled VIE, which deficiency has not been paid, settled or withdrawn or is not being contested in good faith in appropriate proceedings. No material U.S., federal, state, local or foreign Actions relating to Taxes are pending or being conducted with respect to the Company or any of its Subsidiaries (excluding the Non-Controlled VIE), and to the Knowledge of the Company, with respect to the Non-Controlled VIE. None of the Company, any of its Subsidiaries (excluding the Non-Controlled VIE), or, to the Knowledge of the Company, the Non-Controlled VIE, has received written notice of any claim made by a Governmental Body in a jurisdiction where the Company, such Subsidiary or such Non-Controlled VIE does not pay a certain Tax or file a certain type of Tax Return that the Company, such Subsidiary or the Non-Controlled VIE is subject to taxation by that jurisdiction or required to file a certain type of Tax Return in that jurisdiction.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There has been no waiver or extension of any applicable statute of limitations for the assessment or collection of any material Tax of the Company or any of its Subsidiaries (excluding the Non-Controlled VIE), or, to the Knowledge of the Company, the Non-Controlled VIE, that is currently in force.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None of the Company, any of its Subsidiaries (excluding the Non-Controlled VIE), or, to the Knowledge of the Company, the Non-Controlled VIE (i) is a party to or bound by any Tax allocation, sharing or similar agreement (other than any commercial agreement entered into in the ordinary course of business that does not relate primarily to Taxes), (ii) has been a member of an affiliated group filing a combined, consolidated or unitary Tax Return (other than a group the common parent of which is the Company) or (iii) has liability for the Taxes of any other Person (other than the Company, its Subsidiaries or the Non-Controlled VIE) under Treasury Regulation Section 1.1502-6 (or any similar provision of state, local or non-U.S. Law) or as a successor or transferee.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None of the Company, any of its Subsidiaries (excluding the Non-Controlled VIE), or, to the Knowledge of the Company, the Non-Controlled VIE, will be required to include any material item of income in, or exclude any material item of deduction from, taxable income for any taxable period (or portion thereof) ending after the Closing Date as a result of (i) any change in the method of accounting made prior to the Closing, (ii) any “closing agreement” as described in Section 7121 of the Code (or any corresponding or similar provision of state, local or non-U.S. Law) or any other agreement with a Governmental Body regarding Taxes executed on or prior to the Closing Date, (iii) any installment sale or open transaction disposition entered into on or prior to the Closing or (iv) any prepaid amount received or deferred revenue accrued prior to the Closing outside of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None of the Company, any of its Subsidiaries (excluding the Non-Controlled VIE), or, to the Knowledge of the Company, the Non-Controlled VIE, has been a “distributing corporation” or “controlled corporation” in a transaction intended to qualify under Section 355 of the Code within the two (2) years prior to the date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3.12.        </w:t>
      </w:r>
      <w:r>
        <w:rPr>
          <w:rFonts w:ascii="Times New Roman" w:hAnsi="Times New Roman"/>
          <w:color w:val="000000"/>
          <w:sz w:val="20"/>
          <w:u w:val="single"/>
        </w:rPr>
        <w:t>Contracts and Commitments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3.12(a)</w:t>
      </w:r>
      <w:r>
        <w:rPr>
          <w:rFonts w:ascii="Times New Roman" w:hAnsi="Times New Roman"/>
          <w:color w:val="000000"/>
          <w:sz w:val="20"/>
        </w:rPr>
        <w:t xml:space="preserve"> of the Company Disclosure Letter identifies each Contract that constitutes a Company Material Contract as of the date of this Agreement. For purposes of this Agreement, a “</w:t>
      </w:r>
      <w:r>
        <w:rPr>
          <w:rFonts w:ascii="Times New Roman" w:hAnsi="Times New Roman"/>
          <w:color w:val="000000"/>
          <w:sz w:val="20"/>
          <w:u w:val="single"/>
        </w:rPr>
        <w:t>Company Material Contract</w:t>
      </w:r>
      <w:r>
        <w:rPr>
          <w:rFonts w:ascii="Times New Roman" w:hAnsi="Times New Roman"/>
          <w:color w:val="000000"/>
          <w:sz w:val="20"/>
        </w:rPr>
        <w:t>” shall include each of the following Contracts to which the Company or any of its Subsidiaries is a party or by which the Company or any of its Subsidiaries or any of their assets or businesses are bound, but exclude any Company Plan and Company Real Property Leases: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“material contract” (as such term is defined in Item 601 (b)(10) of Regulation S-K of the SEC) with respect to the Company or any of its Subsidiaries that was required to be, but has not been, filed with the SEC with the Company’s Annual Report on Form 10-K for the year ended December 31, 2025, or any Company SEC Documents filed after the date of filing of such Form 10-K;</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collective bargaining agreement or Contract with any labor union, trade organization, works council or other employee representative body (“</w:t>
      </w:r>
      <w:r>
        <w:rPr>
          <w:rFonts w:ascii="Times New Roman" w:hAnsi="Times New Roman"/>
          <w:color w:val="000000"/>
          <w:sz w:val="20"/>
          <w:u w:val="single"/>
        </w:rPr>
        <w:t>Labor Agreements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Contract establishing or relating to the formation, creation, operation, management or control of any joint venture, partnership, collaboration, variable interest entity or similar arrangement;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Contract (A) restricting or purporting to restrict the right of the Company or any of its Affiliates (including, following the Closing Date, Parent or any of its Affiliates) to compete in any line of business in any geographical area, (B) obligating the Company or any of its Affiliates (including, following the Closing Date, Parent or any of its Affiliates) to purchase or otherwise obtain any product or service exclusively from a single party, to purchase a specified minimum amount of goods or services with a value in excess of $1,000,000, or to sell any product or service exclusively to a single party, (C) under which any Person has been granted the (1) exclusive right to develop, manufacture, sell, market or distribute the Products, or (2) non-exclusive right to develop, manufacture, sell, market or distribute the Products (excluding, solely for subclause (C)(2), any Routine Services Contracts entered into in the ordinary course of business), (D) provides for “exclusivity” or any similar requirement in favor of any Person or group of Persons or in any geographical area or (E) requiring the Company or any of its Affiliates (including, following the Closing, Parent or any of its Affiliates) to conduct any business or agree to any terms on a “most favored nations” basis with any Person;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Contract containing any “non-solicitation” or “no-hire” provision that restricts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Contract in respect of Indebtedness or any loan by the Company or any of its Subsidiaries to any other Person;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Contract (other than a Company Plan) between the Company or any of its Subsidiaries, on the one hand, and any Affiliate of the Company, on the other hand;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(viii)       Contract relating to the voting or registration of any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(ix)         Contract containing a right of first refusal, right of first negotiation or right of first offer with respect to any equity interests or material assets;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         Contract that contains any standstill or similar agreement pursuant to which the Company or any of its Subsidiaries has agreed not to acquire assets or securities of another Person, excluding any confidentiality agreements entered into in the ordinary course of business unless it restricts or purports to restrict the Company or any Subsidiary or any Affiliate of the Company (including, following the Closing, Parent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        Contract relating to the supply of any products or services to the Company or any of its Subsidiaries (excluding the VIEs), under which the Company and its Subsidiaries (excluding the VIEs) have paid or expect to pay, individually or in the aggregate, in excess of $1,000,000 during any twelve (12) month period other than, in each case, a Company Plan;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     Corporate integrity agreement, consent decree, deferred prosecution agreement, non-prosecution agreement, or other similar type of agreement with Governmental Bodies that have existing or contingent performance obligations;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      Contract relating to the settlement, conciliation or similar agreement with any Governmental Body or Person, that provides for any continuing material obligations on the part of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(xiv)     Contract that prohibits, limits or restricts the payment of dividends or distributions in respect of the Company Securities, or otherwise prohibit, limit or restrict the pledging of Company Securities, or prohibit, limit or restrict the issuance of guarantees by the Company or any of its Subsidiaries other than the Company Equity Plans or any Contracts evidencing awards granted under the Company Equity Plans;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       stockholders’, investors rights’, registration rights or similar Contract (excluding Contracts governing Company Stock Options or Company RSUs);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(xvi)     Contract (including all amendments, extensions and renewals with respect thereto) pursuant to which the Company or any of its Subsidiaries leases, subleases, uses or occupies any real property;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(xvii)      Contract that is of the type that would be required to be disclosed under Item 404 of Regulation S-K under the Securities Act, other than any such Contract disclosed under </w:t>
      </w:r>
      <w:r>
        <w:rPr>
          <w:rFonts w:ascii="Times New Roman" w:hAnsi="Times New Roman"/>
          <w:color w:val="000000"/>
          <w:sz w:val="20"/>
          <w:u w:val="single"/>
        </w:rPr>
        <w:t>Section 3.24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(xviii)     IP Contract;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(xix)      Contract with any academic institution, research center or Governmental Body that relates to any Owned Intellectual Property or any other material Company Intellectual Property (or the research or development of any of the foregoing or the funding for such research or development activities);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       Contract with respect to commercialization, manufacturing, supply, service, maintenance, collaboration, co-promotion, discovery, research, development or profit sharing (including any such Contracts with any third-party payor or any third party contract research organization or third party contract manufacturing organization that develops, manufactures or supplies any Products and/or that directly conducts clinical trials), in each case, with a value in excess of $1,000,000;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     Contract pursuant to which the Company or any of its Subsidiaries has continuing guarantee, “earn-out” or similar contingent payment obligations (other than indemnification or performance guarantee obligations provided for in the ordinary course of business), including (A) milestone or similar payments, including upon the achievement of regulatory or commercial milestones or (B) payment of royalties or other amounts calculated based upon any revenues or income of the Company or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(xxii)    Contract that obligates the Company or any of its Subsidiaries to make any capital commitment or capital expenditure in an amount in excess of $1,000,000;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(xxiii)     Contract or offer letter that is for the employment of any directors, officers or employees at annual base salary in excess of $250,000;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(xxiv)    Contract with any independent contractor or consultant involving annual payments in excess of $250,000;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(xxv)    Contract in which the Company or any of its Subsidiaries has granted marketing or distribution rights relating to any product or product candidate of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(xxvi)    Contract involving a manufacturing, supply or tolling agreement or arrangement that commits the Company or any of its Subsidiaries to purchase any product or product candidate of the Company or any of its Subsidiaries for clinical studies or commercial use;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(xxvii)    Contract or arrangement to enter into any of the foregoing.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 true and correct copy of all written Company Material Contracts, together with all material amendments, waivers or other changes thereto, and a correct and complete written summary setting forth the terms and conditions of each oral Company Material Contract has been made available to Parent.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(i) Except for matters that would not have or reasonably be expected to have, individually or in the aggregate, a Company Material Adverse Effect, (i) neither the Company nor any of its Subsidiaries (A) is, or has received written notice that any other party to any Company Material Contract is, in violation or breach of or default (with or without notice or lapse of time or both) under and (B) has waived or failed to enforce any rights or benefits under any Company Material Contract to which it is a party or any of its properties or other assets is subject, (ii) there has occurred no event giving to others any right of termination, amendment or cancellation of (with or without notice or lapse of time or both) any such Company Material Contract (excluding expiration of any Contract in accordance with its terms) and (iii) each such Company Material Contract is in full force and effect and is a legal, valid and binding agreement of, and enforceable against, the Company or its Subsidiaries, as applicable, and, to the Knowledge of the Company, each other party thereto. As of the date of this Agreement, the Company has not, and, to the Knowledge of the Company, no other counterparty to any Company Material Contract has given any written notice of termination or cancellation of any Company Material Contract or that it intends to seek to terminate or cancel any Company Material Contract (whether as a result of the Contemplated Transactions or otherwise). Except for matters that would not have or reasonably be expected to have, individually or in the aggregate, a Company Material Adverse Effect, the Company has not deferred any payment under any Company Material Contract, received notice of any overdue invoice with respect to any amount due under any Company Material Contract, or agreed with any counterparty to any Company Material Contracts that payment of any amounts owed by the Company under such Company Material Contract may be deferred or delayed. </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3.13.       </w:t>
      </w:r>
      <w:r>
        <w:rPr>
          <w:rFonts w:ascii="Times New Roman" w:hAnsi="Times New Roman"/>
          <w:color w:val="000000"/>
          <w:sz w:val="20"/>
          <w:u w:val="single"/>
        </w:rPr>
        <w:t>Intellectual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3.13(a)</w:t>
      </w:r>
      <w:r>
        <w:rPr>
          <w:rFonts w:ascii="Times New Roman" w:hAnsi="Times New Roman"/>
          <w:color w:val="000000"/>
          <w:sz w:val="20"/>
        </w:rPr>
        <w:t xml:space="preserve"> of the Company Disclosure Letter sets forth, as of the date of this Agreement, a complete and correct list of all Patents, Trademarks, and registered Copyrights, in each case owned or purported to be owned (in whole or in part) by, or exclusively licensed or sublicensed to, the Company or any of its Subsidiaries, in each case, that have been registered with or issued by a Governmental Body, or with respect to which the Company or any of its Subsidiaries has filed an application for registration (collectively, for clarity even if not listed on the Company Disclosure Letter, “</w:t>
      </w:r>
      <w:r>
        <w:rPr>
          <w:rFonts w:ascii="Times New Roman" w:hAnsi="Times New Roman"/>
          <w:color w:val="000000"/>
          <w:sz w:val="20"/>
          <w:u w:val="single"/>
        </w:rPr>
        <w:t>Company Registered Intellectual Property</w:t>
      </w:r>
      <w:r>
        <w:rPr>
          <w:rFonts w:ascii="Times New Roman" w:hAnsi="Times New Roman"/>
          <w:color w:val="000000"/>
          <w:sz w:val="20"/>
        </w:rPr>
        <w:t xml:space="preserve">”), indicating for each such item as of the date of this Agreement as applicable, the name of the current legal owner(s), the jurisdiction of application/registration, the application/registration number and the filing/issuance date. </w:t>
      </w:r>
      <w:r>
        <w:rPr>
          <w:rFonts w:ascii="Times New Roman" w:hAnsi="Times New Roman"/>
          <w:color w:val="000000"/>
          <w:sz w:val="20"/>
          <w:u w:val="single"/>
        </w:rPr>
        <w:t>Section 3.13(a)</w:t>
      </w:r>
      <w:r>
        <w:rPr>
          <w:rFonts w:ascii="Times New Roman" w:hAnsi="Times New Roman"/>
          <w:color w:val="000000"/>
          <w:sz w:val="20"/>
        </w:rPr>
        <w:t xml:space="preserve"> of the Company Disclosure Letter also sets forth a list of all Internet domain names and social media accounts with respect to which the Company or any of its Subsidiaries (other than the VIEs) is the registrant.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Except as expressly indicated on </w:t>
      </w:r>
      <w:r>
        <w:rPr>
          <w:rFonts w:ascii="Times New Roman" w:hAnsi="Times New Roman"/>
          <w:color w:val="000000"/>
          <w:sz w:val="20"/>
          <w:u w:val="single"/>
        </w:rPr>
        <w:t>Section 3.13(a)</w:t>
      </w:r>
      <w:r>
        <w:rPr>
          <w:rFonts w:ascii="Times New Roman" w:hAnsi="Times New Roman"/>
          <w:color w:val="000000"/>
          <w:sz w:val="20"/>
        </w:rPr>
        <w:t xml:space="preserve"> of the Company Disclosure Letter, all issued Patents, registered Trademarks, and registered Copyrights included in the Company Registered Intellectual Property are subsisting and in full force and effect and, to the Knowledge of the Company, valid and enforceable, and all applications within the Company Registered Intellectual Property are subsisting and, to the Knowledge of the Company, will be valid and enforceable upon issuance. Each item of Company Registered Intellectual Property is, and at all times has been, in material compliance with all formal legal requirements (including payment of registration, maintenance, and renewal fees and the filing of all required documents with the relevant Governmental Bodies) now or previously due for the purpose of maintaining such item of Company Registered Intellectual Property in full force and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The Company or a Subsidiary of the Company is the exclusive owner of all rights, title and interests in and to all Owned Intellectual Property, free and clear of all Liens (except for Permitted Liens), and otherwise possesses sufficient and enforceable rights pursuant to valid and enforceable written agreements to use all other Company Intellectual Property as such Intellectual Property is used and is currently proposed to be used in the conduct of the Company’s business. The Company Intellectual Property (excluding Intellectual Property attributable to the Non-Controlled VIE) is not subject to any outstanding injunction, judgment, order, decree, ruling or charge and, to the Knowledge of the Company, the Company Intellectual Property attributable to the Non-Controlled VIE is not subject to any outstanding injunction, judgment, order, decree, ruling or charge. Except as expressly set forth in </w:t>
      </w:r>
      <w:r>
        <w:rPr>
          <w:rFonts w:ascii="Times New Roman" w:hAnsi="Times New Roman"/>
          <w:color w:val="000000"/>
          <w:sz w:val="20"/>
          <w:u w:val="single"/>
        </w:rPr>
        <w:t>Section 3.13(c)</w:t>
      </w:r>
      <w:r>
        <w:rPr>
          <w:rFonts w:ascii="Times New Roman" w:hAnsi="Times New Roman"/>
          <w:color w:val="000000"/>
          <w:sz w:val="20"/>
        </w:rPr>
        <w:t xml:space="preserve"> of the Company Disclosure Letter, no third party has any joint ownership in any inventions claimed by any issued Patents or pending claims in any applications for Patents included in the Owned Intellectual Property (or to the Knowledge of the Company, any inventions claimed by any issued Patents or pending claims in any applications for Patents licensed by the Company). For the avoidance of doubt, no representation or warranty is made in this </w:t>
      </w:r>
      <w:r>
        <w:rPr>
          <w:rFonts w:ascii="Times New Roman" w:hAnsi="Times New Roman"/>
          <w:color w:val="000000"/>
          <w:sz w:val="20"/>
          <w:u w:val="single"/>
        </w:rPr>
        <w:t>Section 3.13(c)</w:t>
      </w:r>
      <w:r>
        <w:rPr>
          <w:rFonts w:ascii="Times New Roman" w:hAnsi="Times New Roman"/>
          <w:color w:val="000000"/>
          <w:sz w:val="20"/>
        </w:rPr>
        <w:t xml:space="preserve"> with respect to any actual or alleged infringement, misappropriation, or other violation of the Intellectual Property rights of any third party, which matters are addressed exclusively in </w:t>
      </w:r>
      <w:r>
        <w:rPr>
          <w:rFonts w:ascii="Times New Roman" w:hAnsi="Times New Roman"/>
          <w:color w:val="000000"/>
          <w:sz w:val="20"/>
          <w:u w:val="single"/>
        </w:rPr>
        <w:t>Section 3.13(e)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The Company and each of its Subsidiaries has diligently prepared or is diligently preparing to file patent applications for all potentially patentable inventions within the Owned Intellectual Property, except where, in the exercise of each applicable entity’s reasonable business judgment, the Company or such Subsidiary (as applicable) has decided not to file or has decided to defer filing, a patent application on a potentially patentable invention. To the extent the Company controls, or has controlled, the filing or prosecution thereof, the Company and its Subsidiaries have complied in all material respects with all Laws regarding the duty of disclosure, candor and good faith in connection with each Patent included in the Owned Intellectual Property (or otherwise in the Company Registered Intellectual Property) to the extent required by law in the applicable jurisdictions. No public disclosure bar by the Company or its Subsidiaries (excluding the VIEs) or, to the Knowledge of the Company, by the VIEs has occurred or on sale bar by the Company or its Subsidiaries (excluding the VIEs) or, to the Knowledge of the Company, by the VIEs has arisen which has rendered or would reasonably be expected to render any material Patent contained in the Owned Intellectual Property (or otherwise in the Company Registered Intellectual Property to the extent the Company controls filing or prosecution thereof) unenforceable or invalid.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Neither the conduct of the Company’s and its Subsidiaries’ business, nor their respective use, practice, or other exploitation of the Products or VIE Products (including the research, development, and manufacture thereof) has infringed, misappropriated or otherwise violated or is infringing, misappropriating or otherwise violating, in any material respect, (i) any issued Patent of any Person or (ii) to the Knowledge of the Company, any Intellectual Property of any Person. Neither the Company nor any of its Subsidiaries has received any written notice from any Person (A) claiming any infringement, misappropriation or violation of the Intellectual Property of such Person or (B) contesting the use, ownership, scope, validity or enforceability of any of the Company Intellectual Property, and neither the Company nor any of its Subsidiaries is aware of any basis for such claims. There is no Action pending, or, to the Knowledge of the Company, threatened, against the Company or any of its Subsidiaries (or to the Knowledge of the Company, any other Person) claiming or contesting any of the foregoing (other than, for clarity, office actions initiated by the U.S. Patent and Trademark Office or any foreign equivalent in the ordinary course of prosecution). None of the Owned Intellectual Property, and to the Knowledge of the Company, other Company Intellectual Property is subject to any pending or outstanding judgment that restricts the use, licensing, transfer or registration of, or adversely affects the validity or enforceability of, any such Intellectual Property. None of the Company, any of its Subsidiaries (excluding the VIEs) or, to the Knowledge of the Company, the VIEs, is under any obligation to indemnify any Person for or against any interference, infringement, misappropriation, or other conflict with respect to Company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To the Knowledge of the Company, no Person has misappropriated, infringed or otherwise violated or is infringing, misappropriating or otherwise violating any Company Intellectual Property, and no such claims have been made against any other Person by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Section 3.13(g)</w:t>
      </w:r>
      <w:r>
        <w:rPr>
          <w:rFonts w:ascii="Times New Roman" w:hAnsi="Times New Roman"/>
          <w:color w:val="000000"/>
          <w:sz w:val="20"/>
        </w:rPr>
        <w:t xml:space="preserve"> of the Company Disclosure Letter sets forth a complete and correct list of all IP Contracts to which the Company or any of its Subsidiaries is a party. The Company has made available to Parent and Merger Sub true and complete copies of all such IP Contracts. Each other party to any such IP Contracts has performed all obligations required to be performed by such party as of the date of this Agreement, and neither the Company nor any of its Subsidiaries is in violation, breach or default of or under any such IP Contracts. Except as set forth on </w:t>
      </w:r>
      <w:r>
        <w:rPr>
          <w:rFonts w:ascii="Times New Roman" w:hAnsi="Times New Roman"/>
          <w:color w:val="000000"/>
          <w:sz w:val="20"/>
          <w:u w:val="single"/>
        </w:rPr>
        <w:t>Section 3.13(g)</w:t>
      </w:r>
      <w:r>
        <w:rPr>
          <w:rFonts w:ascii="Times New Roman" w:hAnsi="Times New Roman"/>
          <w:color w:val="000000"/>
          <w:sz w:val="20"/>
        </w:rPr>
        <w:t xml:space="preserve"> of the Company Disclosure Letter, neither the execution and delivery of this Agreement nor the consummation of the Contemplated Transactions will (A) result in the breach of, or create on behalf of any third party the right to terminate or modify any IP Contract, (B) result in or require the grant, assignment or transfer to any other Person (other than Parent, Merger Sub or any of their respective Affiliates) of any license or other right or interest under, to or in any of the Company Intellectual Property or any of the Intellectual Property of Parent, Merger Sub or any of their respective Affiliates or (C) cause a material loss or impairment of any Company Intellectual Property, and all such rights in Company Intellectual Property will continue in full force and effect immediately following the Closing on substantially identical terms and conditions as in effect prior to the Closing, without the payment of any additional consideration in connection therewith.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No past or present founder, director, officer, employee, consultant or independent contractor of the Company or any of its Subsidiaries owns (or, to the Knowledge of the Company, has any claim, or any right (whether or not currently exercisable) to any ownership interest, in or to) any Owned Intellectual Property or, to the Knowledge of the Company, any other Company Intellectual Property that is material to the operation of the Company or its Subsidiaries. Each current and former employee, officer and director of the Company or any of its Subsidiaries, each current and former independent contractor and consultant of the Company or any of its Subsidiaries, and any other Person who is or has been involved in the creation or development of any Intellectual Property for or on behalf of the Company or any of its Subsidiaries has executed a valid and enforceable written agreement (i) requiring such Person to maintain the confidentiality of all confidential information of the Company or its Subsidiaries, (ii) permitting such Person to use such information only for the benefit of the Company or its Subsidiaries in the scope of such Person’s employment or engagement by the Company or any of its Subsidiaries (as the case may be) and (iii) containing a present assignment to the Company or its applicable Subsidiary of all rights, title and interests in and to all Intellectual Property created or developed for the Company or any of its Subsidiaries in the course of such Person’s employment or retention thereby  (provided, that with respect to the VIEs, each of the representations set forth in clauses (i) through (iii) of this sentence is made as to the Knowledge of the Company). There is no material uncured breach by the Company or any of its Subsidiaries, or, to the Knowledge of the Company, the counterparty, under any such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The Company and its Subsidiaries have taken commercially reasonable steps to prevent the unauthorized disclosure or use of any material Trade Secrets included in the Company Intellectual Property (and to maintain the secrecy and value thereof), including by requiring each Person with access to such material Trade Secrets to execute a binding written non-disclosure agreement restricting the disclosure and use of such material Trade Secret. To the Knowledge of the Company, no such Person is in breach or violation of any such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No funding, facilities or personnel of any Governmental Body or any university, college, research institute or other educational institution (i) has been or is being used to create, in whole or in part, any Owned Intellectual Property (or, to the Knowledge of the Company, other Company Intellectual Property), except for any such funding or use of facilities or personnel that does not result in such Governmental Body or institution obtaining ownership of, or use rights to (except for use rights during the term of the applicable agreement between the Company or any of its Subsidiaries, on the one hand, and such Governmental Body or educational institution, on the other hand, solely to conduct activities within the scope of such applicable agreement) such Company Intellectual Property or (ii) requires or otherwise obligates the Company or any of its Subsidiaries to grant or offer to any such Governmental Body or institution any license or other right to such Company Intellectual Property (except for use rights during the term of the applicable agreement between the Company and such Governmental Body or institution solely to conduct activities within the scope of such applicable agreement). No current or former employee, consultant or independent contractor of the Company or any of its Subsidiaries who contributed to the creation or development of any Company Intellectual Property has, to the Knowledge of the Company, performed services for a Governmental Body or any university, college, research institute or other educational institution related to the Company’s or its Subsidiaries’ business as presently conducted during a period of time during which such employee, consultant or independent contractor was also performing services for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(k)        The Company and its Subsidiaries (excluding the VIEs) and, to the Knowledge of the Company, the VIEs, own or possess valid and enforceable rights to use, in all material respects, all training data that is material to the development, operation, modification, update, or improvement of any machine learning or artificial intelligence technologies owned or purported to be owned by the Company and its Subsidiaries, and have obtained all necessary consents for such use. Immediately following the Closing, the Company and its Subsidiaries (excluding the VIEs) and, to the Knowledge of the Company, the VIEs, will continue to own, license, or otherwise have the right to use such training data to the same extent as prior to the Closing.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(i) The computer systems, including the software, firmware, hardware, networks, interfaces, platforms and related systems, owned, leased or licensed by or otherwise used by the Company or any of its Subsidiaries (collectively, the “</w:t>
      </w:r>
      <w:r>
        <w:rPr>
          <w:rFonts w:ascii="Times New Roman" w:hAnsi="Times New Roman"/>
          <w:color w:val="000000"/>
          <w:sz w:val="20"/>
          <w:u w:val="single"/>
        </w:rPr>
        <w:t>Company Systems</w:t>
      </w:r>
      <w:r>
        <w:rPr>
          <w:rFonts w:ascii="Times New Roman" w:hAnsi="Times New Roman"/>
          <w:color w:val="000000"/>
          <w:sz w:val="20"/>
        </w:rPr>
        <w:t>”) are sufficient for the conduct of its business as presently conducted by Company and its Subsidiaries (excluding the VIEs) and, to the Knowledge of the Company, the VIEs, (ii) since January 1, 2024, there have been no failures, breakdowns, breaches, defects, continued substandard performance or other adverse events affecting any such Company Systems that have caused or could reasonably be expected to result in the substantial disruption or interruption in or to the use of such Company Systems or the conduct of the business as presently conducted by the Company and its Subsidiaries (excluding the VIEs) and, to the Knowledge of the Company, the VIEs, and (iii) since January 1, 2024, there have not been any incidents of unauthorized access or other security breaches of the Company Systems owned, leased or licensed by or otherwise used by the Company and its Subsidiaries (excluding the VIEs) and, to the Knowledge of the Company, the Company Systems owned or controlled by the VIEs. The Company and its Subsidiaries (excluding the VIEs) and, to the Knowledge of the Company, the VIEs (i) have taken, and take, commercially reasonable efforts (including maintaining policies and procedures) to maintain and protect the integrity, security and operation of the Company Systems owned or controlled by the Company and its Subsidiaries, and (ii) have implemented and maintain backup and disaster recovery technology and procedures consistent with reasonable information technology security practices for a company of its size and nature. To the Knowledge of the Company, the Company Systems do not contain any malware, “Trojan horses,” viruses, or other malicious code.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3.14.     </w:t>
      </w:r>
      <w:r>
        <w:rPr>
          <w:rFonts w:ascii="Times New Roman" w:hAnsi="Times New Roman"/>
          <w:color w:val="000000"/>
          <w:sz w:val="20"/>
          <w:u w:val="single"/>
        </w:rPr>
        <w:t>Litigation</w:t>
      </w:r>
      <w:r>
        <w:rPr>
          <w:rFonts w:ascii="Times New Roman" w:hAnsi="Times New Roman"/>
          <w:color w:val="000000"/>
          <w:sz w:val="20"/>
        </w:rPr>
        <w:t>. As of the date of this Agreement, (i) there is no material Action pending or, to the Knowledge of the Company, threatened against the Company or any of its Subsidiaries, or another Person for which the Company or any of its Subsidiaries is providing indemnification, at law or in equity, or before or by any Governmental Body or any Person that would be material to the Company and its Subsidiaries, taken as a whole and (ii) neither the Company nor any of its Subsidiaries is subject to or in violation of any outstanding judgment, injunction, rule, order or decree of any court or Governmental Body that would be material to the Company and its Subsidiaries, taken as a whole.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3.15.        </w:t>
      </w:r>
      <w:r>
        <w:rPr>
          <w:rFonts w:ascii="Times New Roman" w:hAnsi="Times New Roman"/>
          <w:color w:val="000000"/>
          <w:sz w:val="20"/>
          <w:u w:val="single"/>
        </w:rPr>
        <w:t>Insurance</w:t>
      </w:r>
      <w:r>
        <w:rPr>
          <w:rFonts w:ascii="Times New Roman" w:hAnsi="Times New Roman"/>
          <w:color w:val="000000"/>
          <w:sz w:val="20"/>
        </w:rPr>
        <w:t xml:space="preserve">. </w:t>
      </w:r>
      <w:r>
        <w:rPr>
          <w:rFonts w:ascii="Times New Roman" w:hAnsi="Times New Roman"/>
          <w:color w:val="000000"/>
          <w:sz w:val="20"/>
          <w:u w:val="single"/>
        </w:rPr>
        <w:t>Section 3.15</w:t>
      </w:r>
      <w:r>
        <w:rPr>
          <w:rFonts w:ascii="Times New Roman" w:hAnsi="Times New Roman"/>
          <w:color w:val="000000"/>
          <w:sz w:val="20"/>
        </w:rPr>
        <w:t xml:space="preserve"> of the Company Disclosure Letter sets forth each material insurance policy to which the Company or any of its Subsidiaries (excluding the VIEs) is a party as of the date of this Agreement. As of the date of this Agreement, each insurance policy under which the Company or any of its Subsidiaries is an insured or otherwise the principal beneficiary of coverage is in full force and effect, and (i) neither the Company nor any of its Subsidiaries is in breach or default under any such insurance policy, (ii) no notice of cancellation or termination has been received with respect to any such insurance policy and (iii) no event has occurred which, with notice or lapse of time, would constitute such breach or default, or permit termination, or modification, under any such insurance policy, except as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3.16.        </w:t>
      </w:r>
      <w:r>
        <w:rPr>
          <w:rFonts w:ascii="Times New Roman" w:hAnsi="Times New Roman"/>
          <w:color w:val="000000"/>
          <w:sz w:val="20"/>
          <w:u w:val="single"/>
        </w:rPr>
        <w:t>Employee Benefit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Section 3.16(a)</w:t>
      </w:r>
      <w:r>
        <w:rPr>
          <w:rFonts w:ascii="Times New Roman" w:hAnsi="Times New Roman"/>
          <w:color w:val="000000"/>
          <w:sz w:val="20"/>
        </w:rPr>
        <w:t xml:space="preserve"> of the Company Disclosure Letter lists all material Company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With respect to each material Company Plan, the Company has made available to Parent and Merger Sub true and complete copies of the following (as applicable) prior to the date of this Agreement: (i) the current plan document, including all amendments thereto or, with respect to any unwritten plan, a written summary of all material terms thereof, (ii) the current summary plan description along with all summaries of material modifications thereto, (iii) all related trust instruments, custodial agreements, insurance policies, or other funding-related documents, (iv) a copy of the most recent financial statements, (v) the three (3) most recent annual reports on Form 5500, including all schedules and attachments, required to be filed with the Department of Labor, (vi) a copy of all material, non-routine correspondence with any Governmental Body relating to a Company Plan received or sent within the last six (6) years, (vii) results of non-discrimination testing for each of the last three (3) plan years (including details of any related corrections), (viii) all Forms 1094-C for the Company and any of its Subsidiaries that served as an employing entity from 2019 to 2025, and (ix) the current Internal Revenue Service determination, advisory or opinion letter.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Each Company Plan that is intended to be “qualified” under Section 401(a) of the Code is the subject of a favorable determination letter or is covered by a favorable opinion or advisory letter from the Internal Revenue Service as to its qualification, each trust created thereunder has been determined by the Internal Revenue Service to be exempt from Tax under the provisions of Section 501(a) of the Code, and no event has occurred, either by reason of any action or failure to act, that could reasonably be expected to cause the loss of any such qualification, registration or tax-exempt status or result in material Liability to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Each Company Plan, including any associated trust or fund, has been established, maintained, operated, funded and administered in material compliance with its terms and complies, in all material respects, in form and in operation with the requirements of the Code, the Employee Retirement Income Security Act of 1974, as amended (“</w:t>
      </w:r>
      <w:r>
        <w:rPr>
          <w:rFonts w:ascii="Times New Roman" w:hAnsi="Times New Roman"/>
          <w:color w:val="000000"/>
          <w:sz w:val="20"/>
          <w:u w:val="single"/>
        </w:rPr>
        <w:t>ERISA</w:t>
      </w:r>
      <w:r>
        <w:rPr>
          <w:rFonts w:ascii="Times New Roman" w:hAnsi="Times New Roman"/>
          <w:color w:val="000000"/>
          <w:sz w:val="20"/>
        </w:rPr>
        <w:t>”), and other applicable Laws. With respect to each Company Plan or the assets thereof, there are no Actions or claims pending or, to the Knowledge of the Company, threatened, other than routine claims for benefits in the ordinary course, and to the Knowledge of the Company no fact or circumstance exists that would be reasonably likely to give rise to any such Action or claim. No Company Plan is, or within the last six (6) years has been, the subject of an examination, investigation or audit by a Governmental Body, or the subject of an application or filing under, or a participant in, a government-sponsored amnesty, voluntary compliance, self-correction or similar program.</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No Company Plan is and none of the Company, its Subsidiaries or any of their respective ERISA Affiliates has at any time sponsored, contributed to or been required to contribute to, or otherwise has or had any Liability or obligation under or in respect of, a plan that is or was at any relevant time (i) subject to Section 302 or Title IV of ERISA or Section 412 of the Code or is otherwise a defined benefit plan, (ii) a “multiemployer plan” within the meaning of Section 3(37) of ERISA, (iii) a “multiple employer plan” as described in Section 413(c) of the Code or Section 210 of ERISA, (iv) a “multiple employer welfare arrangement” within the meaning of Section 3(40) of ERISA or (v) a plan that has two (2) or more contributing sponsors, at least two (2) of whom are not under common control, within the meaning of Section 4063 of ERISA. Neither the Company nor any of its Subsidiaries has any Liability by reason of at any time being considered a single employer under Section 414 of the Code with any Person other than the Company or its Subsidiaries. The Company Plans do not obligate the Company or any of its Subsidiaries, and neither the Company nor any of its Subsidiaries otherwise have any Liability, to provide a current or former employee or other service provider (or any spouse or dependent thereof) any life insurance or medical or welfare benefits (other than severance benefits under the employment agreements listed on </w:t>
      </w:r>
      <w:r>
        <w:rPr>
          <w:rFonts w:ascii="Times New Roman" w:hAnsi="Times New Roman"/>
          <w:color w:val="000000"/>
          <w:sz w:val="20"/>
          <w:u w:val="single"/>
        </w:rPr>
        <w:t>Section 3.16(a)</w:t>
      </w:r>
      <w:r>
        <w:rPr>
          <w:rFonts w:ascii="Times New Roman" w:hAnsi="Times New Roman"/>
          <w:color w:val="000000"/>
          <w:sz w:val="20"/>
        </w:rPr>
        <w:t xml:space="preserve"> of the Company Disclosure Letter) after his or her termination of employment or service with the Company or any of its Subsidiaries, other than as required under Part 6 of Subtitle B of Title I of ERISA, Section 4980B of the Code or any other Law at the sole expense of the participant.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All contributions, reimbursements, distributions, premiums and benefit payments that are due under any Company Plan have been timely made in all material respects and all such amounts for any period ending on or before the Closing Date that are not yet due have been made or properly accrued in accordance with applicable accounting principles in all material respects. Neither the Company nor any of its Subsidiaries has incurred any material Tax (whether or not assessed) pursuant to Sections 4980B, 4980D, 4980H, 6721 or 6722 of the Code. There has been no “prohibited transaction” within the meaning of Section 4975 of the Code or Section 406 of ERISA, breach of fiduciary duty (as determined under ERISA) with respect to any Company Plan, or other transaction with respect to any Company Plan that could subject the Company or any of its Subsidiaries to any material Tax under the Code, ERISA, or any other applicable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Except as set forth in </w:t>
      </w:r>
      <w:r>
        <w:rPr>
          <w:rFonts w:ascii="Times New Roman" w:hAnsi="Times New Roman"/>
          <w:color w:val="000000"/>
          <w:sz w:val="20"/>
          <w:u w:val="single"/>
        </w:rPr>
        <w:t>Section 2.2</w:t>
      </w:r>
      <w:r>
        <w:rPr>
          <w:rFonts w:ascii="Times New Roman" w:hAnsi="Times New Roman"/>
          <w:color w:val="000000"/>
          <w:sz w:val="20"/>
        </w:rPr>
        <w:t xml:space="preserve"> of this Agreement or in </w:t>
      </w:r>
      <w:r>
        <w:rPr>
          <w:rFonts w:ascii="Times New Roman" w:hAnsi="Times New Roman"/>
          <w:color w:val="000000"/>
          <w:sz w:val="20"/>
          <w:u w:val="single"/>
        </w:rPr>
        <w:t>Section 3.16(g)</w:t>
      </w:r>
      <w:r>
        <w:rPr>
          <w:rFonts w:ascii="Times New Roman" w:hAnsi="Times New Roman"/>
          <w:color w:val="000000"/>
          <w:sz w:val="20"/>
        </w:rPr>
        <w:t xml:space="preserve"> of the Company Disclosure Letter, neither the execution or delivery of this Agreement, nor the consummation of the Contemplated Transactions, could, either individually or together with the occurrence of some other event (including a termination of employment or service), (i) result in any payment (including severance, bonus or other similar payment) becoming due to any current or former officer, director, employee or individual service provider of the Company or any of its Subsidiaries, or under a Company Plan or otherwise, (ii) increase or otherwise enhance any benefits or compensation otherwise payable under any Company Plan or otherwise to a current or former officer, employee or individual service provider of the Company or any of its Subsidiaries, (iii) result in the acceleration of the time of payment or vesting of any payments or benefits or trigger any other obligation under any Company Plan, (iv) require the Company or any of its Subsidiaries to set aside any assets to fund or trigger any payment or funding of any benefits under any Company Plan, (v) result in any violation of, or default under, any Company Plan, (vi) limit or restrict the right of the Company to merge, amend or terminate any Company Plan or (vii) result in the payment of any “excess parachute payment” within the meaning of Section 280G of the Code or in the imposition of an excise Tax under Section 4999 of the Code.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None of the Company, any of its Subsidiaries (excluding the Non-Controlled VIE) or, to the Knowledge of the Company, the Non-Controlled VIE, has any obligation to pay any gross-up, reimbursement or other payment in respect of any Tax imposed under Section 4999 or Section 409A of the Code (or any corresponding provisions of state or local Law relating to Tax).</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Each “nonqualified deferred compensation plan” (as defined in Section 409A(d)(1) of the Code) of the Company or any of its Subsidiaries has been documented and operated in material compliance with Section 409A of the Code and the applicable guidance and regulations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(j)         </w:t>
      </w:r>
      <w:r>
        <w:rPr>
          <w:rFonts w:ascii="Times New Roman" w:hAnsi="Times New Roman"/>
          <w:color w:val="000000"/>
          <w:sz w:val="20"/>
          <w:u w:val="single"/>
        </w:rPr>
        <w:t>Section 3.16(j)</w:t>
      </w:r>
      <w:r>
        <w:rPr>
          <w:rFonts w:ascii="Times New Roman" w:hAnsi="Times New Roman"/>
          <w:color w:val="000000"/>
          <w:sz w:val="20"/>
        </w:rPr>
        <w:t> of the Company Disclosure Letter sets forth a list of each Plan maintained for the benefit of any current or former employee or other individual service provider who performs services for the Company or its Subsidiaries outside of the United States (each, a “</w:t>
      </w:r>
      <w:r>
        <w:rPr>
          <w:rFonts w:ascii="Times New Roman" w:hAnsi="Times New Roman"/>
          <w:color w:val="000000"/>
          <w:sz w:val="20"/>
          <w:u w:val="single"/>
        </w:rPr>
        <w:t>Non-U.S. Plan</w:t>
      </w:r>
      <w:r>
        <w:rPr>
          <w:rFonts w:ascii="Times New Roman" w:hAnsi="Times New Roman"/>
          <w:color w:val="000000"/>
          <w:sz w:val="20"/>
        </w:rPr>
        <w:t xml:space="preserve">”). Except as set forth on </w:t>
      </w:r>
      <w:r>
        <w:rPr>
          <w:rFonts w:ascii="Times New Roman" w:hAnsi="Times New Roman"/>
          <w:color w:val="000000"/>
          <w:sz w:val="20"/>
          <w:u w:val="single"/>
        </w:rPr>
        <w:t>Section 3.16(j)(i)</w:t>
      </w:r>
      <w:r>
        <w:rPr>
          <w:rFonts w:ascii="Times New Roman" w:hAnsi="Times New Roman"/>
          <w:color w:val="000000"/>
          <w:sz w:val="20"/>
        </w:rPr>
        <w:t xml:space="preserve"> of the Company Disclosure Letter, no Non-U.S. Plan provides for benefits that materially exceed the statutory minimum benefits required to be provided by the Company or its Subsidiaries to such Person. There is no Non-U.S. Plan in the nature of a defined benefit plan or multiemployer plan for the benefit of any Person in, or subject to any legal requirements of, a jurisdiction outside the United States. Each Non-U.S. Plan (i) if intended to qualify for special tax treatment under applicable Law, satisfies in all material respects all requirements to obtain such tax treatment, (ii) if required to be funded, book-reserved or secured by an insurance policy, is funded, book-reserved, or secured by such an insurance policy, as applicable, based on reasonable and appropriate actuarial assumptions in all material respects in accordance with applicable accounting principles and applicable Law, and (iii) has been maintained in compliance in all material respects with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3.17.       </w:t>
      </w:r>
      <w:r>
        <w:rPr>
          <w:rFonts w:ascii="Times New Roman" w:hAnsi="Times New Roman"/>
          <w:color w:val="000000"/>
          <w:sz w:val="20"/>
          <w:u w:val="single"/>
        </w:rPr>
        <w:t>Environmental Compliance and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 Each of the Company and its Subsidiaries is, and since January 1, 2024 has been, in material compliance with all applicable Environmental Laws; (ii) each of the Company and its Subsidiaries holds and is in material compliance with all Permits required under Environmental Law to operate their business as presently conducted, and there are no Actions pending or, to the Knowledge of the Company, threatened, that could reasonably be expected to result in the suspension, termination, or material modification of any such Permit; (iii) (A) neither the Company nor any Subsidiary (excluding the VIEs) has received any notice or request for information, and there is no Action or Governmental Order that is pending or, to the Knowledge of the Company, threatened against or affecting the Company or any of its Subsidiaries (excluding the VIEs) and (B) to the Knowledge of the Company, none of the VIEs has received any notice or request for information and there is no Action or Governmental Order that is pending or threatened against or affecting the VIEs, in each case of clauses (A) and (B), relating to or alleging any liability under or violation of Environmental Law that remains open or unresolved; (iv) none of the Company, any of its Subsidiaries or, to the Knowledge of the Company, the VIEs, by operation of Environmental Law or by entering into a Contract or Governmental Order has assumed or retained any material Environmental Liability; and (v) neither the Company or any of its Subsidiaries nor, to the Knowledge of the Company, any other Person, has Released any Hazardous Substance on, into, or from the Company Real Property or any other real property currently or formerly owned, leased or operated by the Company or its Subsidiaries in a manner or to a degree that has or would reasonably be expected to result in liability or investigatory or remedial obligations for the Company or any Subsidiary under Environmental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has made available to Parent copies of all material environmental reports, audits, assessments, investigations, documents, and correspondence within its possession or control relating to the environmental condition of the Company Real Property or to the compliance of the Company or any of its Subsidiaries with Environmental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3.18.        </w:t>
      </w:r>
      <w:r>
        <w:rPr>
          <w:rFonts w:ascii="Times New Roman" w:hAnsi="Times New Roman"/>
          <w:color w:val="000000"/>
          <w:sz w:val="20"/>
          <w:u w:val="single"/>
        </w:rPr>
        <w:t>Employment and Labor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Neither the Company nor any of its Subsidiaries is a party to or bound by any Labor Agreement, and no employees of the Company nor any of its Subsidiaries are represented by a labor union, works council or other employee representative body. Neither the Company nor any of its Subsidiaries has experienced any actual or, to the Knowledge of the Company, threatened labor disruptions, arbitrations, picketing, strikes, slowdowns, handbilling, work stoppages, lockouts, material labor grievances, claims of unfair labor practices, or other collective bargaining or labor disputes since January 1, 2024, and, to the Knowledge of the Company, has not experienced union organization attempts since such date. Since January 1, 2024, no labor union, works council, other labor organization, or group of employees of the Company or any of its Subsidiaries has made a demand or petition for recognition or certification, and there are no representation or certification proceedings presently pending or threatened to be brought or filed with the National Labor Relations Board or any other labor relations tribunal or authority. Neither the Company nor any of its Subsidiaries has any notice or consultation obligations to any labor union, labor organization or works council in connection with the execution of this Agreement or consummation of the Contemplated Transactions. There are and since January 1, 2024 have been no material Actions pending or threatened by or before any Governmental Body against or affecting the Company or any of its Subsidiaries concerning employment-related matters (including any material grievances or unfair labor practice charges) or brought by or on behalf of any current or former applicant, employee or independent contractor of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Each of the Company and its Subsidiaries is and, since January 1, 2024, has been in compliance, in all material respects, with all Laws relating to labor and employment, including all such Laws relating to wages and hours (including minimum wage and overtime wages), human rights, discrimination, harassment, retaliation, pay equity, employment equity, paid sick days/leave entitlements and benefits, family and medical leave and other leaves of absence (including the federal Emergency Family and Medical Leave Expansion Act), workers’ compensation, safety and health, immigration and work authorization (including the completion and retention of Forms I-9 for all employees and the proper confirmation of employee visas), worker classification and payment (including employee-independent contractor classification and the proper classification of employees as exempt employees and non-exempt employees), plant closures and layoffs (including the Worker Adjustment and Retraining Notification Act of 1988, as amended, and any similar foreign, state, provincial or local “mass layoff” or “plant closing” Laws (“</w:t>
      </w:r>
      <w:r>
        <w:rPr>
          <w:rFonts w:ascii="Times New Roman" w:hAnsi="Times New Roman"/>
          <w:color w:val="000000"/>
          <w:sz w:val="20"/>
          <w:u w:val="single"/>
        </w:rPr>
        <w:t>WARN</w:t>
      </w:r>
      <w:r>
        <w:rPr>
          <w:rFonts w:ascii="Times New Roman" w:hAnsi="Times New Roman"/>
          <w:color w:val="000000"/>
          <w:sz w:val="20"/>
        </w:rPr>
        <w:t>”)), terms and conditions of employment, whistleblowing, disability rights or benefits, employee trainings and notices, background checks and drug testing, labor relations, employee leave issues, affirmative action and unemployment insurance.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There has been no “mass layoff” or “plant closing” (as defined by WARN or any similar foreign, state, provincial or local Laws) with respect to the Company or any of its Subsidiaries since January 1, 2024.</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 current employee with annualized base salary at or above $250,000 has given notice of termination of employment or, to the Knowledge of the Company, otherwise intends to terminate employment with the Company or any of its Subsidiaries within the twelve (12) months following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All employees in the United States of America are employed on an “at-will” basis and their employment can be terminated at any time for any reason without any material amounts being owed to such individual other than with respect to wages accrued before termination, vested benefits under the Company Plans, and severance under Company Plans disclosed on </w:t>
      </w:r>
      <w:r>
        <w:rPr>
          <w:rFonts w:ascii="Times New Roman" w:hAnsi="Times New Roman"/>
          <w:color w:val="000000"/>
          <w:sz w:val="20"/>
          <w:u w:val="single"/>
        </w:rPr>
        <w:t>Section 3.16(a)</w:t>
      </w:r>
      <w:r>
        <w:rPr>
          <w:rFonts w:ascii="Times New Roman" w:hAnsi="Times New Roman"/>
          <w:color w:val="000000"/>
          <w:sz w:val="20"/>
        </w:rPr>
        <w:t xml:space="preserve"> of the Company Disclosure Letter or amounts required by applicable Law. The relationships with all individuals who act on their own as contractors or as other service providers to the Company or any of its Subsidiaries (excluding the VIEs) and, to the Knowledge of the Company, the VIEs, can be terminated for any reason with no greater than thirty (30) days’ prior written notice of termination, other than earned but unpaid compensation through the date of termination. Neither the Company nor any of its Subsidiaries sponsors any employee for, or otherwise knowingly engages any employee working pursuant to, a nonimmigrant visa.</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The Company has made available to Parent a true and complete list of (i) the employee identification number, current compensation rate (including salary and target annual bonus or commission opportunity), date of hire, work location, visa status, leave status and current job title or position of each officer and employee of the Company and each of its Subsidiaries (excluding the Non-Controlled VIE), (ii) the expected title of each other individual who has accepted an offer of employment made by the Company or any of its Subsidiaries but whose employment has not yet commenced and (iii) the expected title of each other individual to whom an offer of employment is outstanding by the Company or any of its Subsidiaries, together with each such individual’s actual or offered position or function, date of hire, location, status as active or inactive, whether such individual is on a time limited visa, base pay, bonus target, whether such position is exempt or non-exempt, leave status and expected return to work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The Company has made available to Parent a list of all individual independent contractors to the Company or any of its Subsidiaries (excluding the VIEs) who have performed services for the Company or any of its Subsidiaries (excluding the VIEs) within the last six (6) months, including name, current rate of payment and any incentive compensation opportunities, description of work, and expiration of term of engagement.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The Company has made available to Parent a complete and accurate copy of each material written personnel policy and material written personnel rule or procedure generally applicable to employees of the Company and each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During the past two (2) years, no executive or key employee of the Company or any of its Subsidiaries was the subject of any sexual or other type of discrimination, harassment, retaliation, or misconduct allegations while engaged by the Company or any of its Subsidiaries. Each of the Company and its Subsidiaries has reasonably investigated all sexual harassment, or other discrimination, retaliation or policy violation allegations of which any of them received written or oral notice or which have been reported to any of them. With respect to each such allegation with potential merit, each of the Company and its Subsidiaries has taken prompt corrective action that is reasonably calculated to prevent further improper action. Neither the Company nor any of its Subsidiaries reasonably expects any material Liabilities with respect to any such allegations and is not aware of any allegations relating to officers, directors, employees, contractors, or agents of the Company or such Subsidiary, that, if known to the public, would bring the Company or such Subsidiary into material disrepute.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To the Knowledge of the Company, no current or former employee or independent contractor of the Company or any of its Subsidiaries is in any material respect in violation of any term of any nondisclosure agreement, noncompetition agreement, nonsolicitation agreement, or other restrictive covenant agreement or obligation: (i) owed to the Company or any of its Subsidiaries; or (ii) owed to any third party with respect to such person’s right to be employed or engaged by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(k)         Each of the Company and its Subsidiaries is, and since January 1, 2024, has been, in compliance in all material respects with all applicable immigration Laws, including the Immigration Reform and Control Act of 1986 and any amendments thereto. Since January 1, 2024, each of the Company and its Subsidiaries has, in all material respects, properly completed and retained Form I-9 (Employment Eligibility Verification) for all current and former employees hired to perform services in the United States, as required by applicable Law. All individuals employed by the Company or any of its Subsidiaries in the United States are authorized to work in the United States. Neither the Company nor any of its Subsidiaries sponsors any employee for, or otherwise knowingly engage any employee working pursuant to, a nonimmigrant visa.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3.19.        </w:t>
      </w:r>
      <w:r>
        <w:rPr>
          <w:rFonts w:ascii="Times New Roman" w:hAnsi="Times New Roman"/>
          <w:color w:val="000000"/>
          <w:sz w:val="20"/>
          <w:u w:val="single"/>
        </w:rPr>
        <w:t>Regulatory and Compliance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Each of the Company and its Subsidiaries (excluding the VIEs) and, to the Knowledge of the Company, the VIEs (i) holds all material Permits and has submitted written notices to all Governmental Bodies, required under applicable Healthcare Laws necessary for the lawful operation of the business of the Company and its Subsidiaries as currently conducted, including all Permits and registrations submitted to or issued by the FDA or Drug Enforcement Administration (the “</w:t>
      </w:r>
      <w:r>
        <w:rPr>
          <w:rFonts w:ascii="Times New Roman" w:hAnsi="Times New Roman"/>
          <w:color w:val="000000"/>
          <w:sz w:val="20"/>
          <w:u w:val="single"/>
        </w:rPr>
        <w:t>Regulatory Authorizations</w:t>
      </w:r>
      <w:r>
        <w:rPr>
          <w:rFonts w:ascii="Times New Roman" w:hAnsi="Times New Roman"/>
          <w:color w:val="000000"/>
          <w:sz w:val="20"/>
        </w:rPr>
        <w:t xml:space="preserve">”),  (ii) is operating and has since January 1, 2024 operated in compliance in all material respects with such material Regulatory Authorizations, and (iii) as of the date of this Agreement, all such material Regulatory Authorizations are valid and in full force and effect. Since January 1, 2024, there has not occurred any material violation of, or material default (with or without written notice or lapse of time or both) under any such material Regulatory Authorization. Since January 1, 2024, each of the Company and its Subsidiaries has fulfilled and performed all of their respective material obligations with respect to such material Regulatory Authorizations and is in compliance in all material respects with the terms thereof. </w:t>
      </w:r>
      <w:r>
        <w:rPr>
          <w:rFonts w:ascii="Times New Roman" w:hAnsi="Times New Roman"/>
          <w:color w:val="000000"/>
          <w:sz w:val="20"/>
          <w:u w:val="single"/>
        </w:rPr>
        <w:t>Section 3.19(a)</w:t>
      </w:r>
      <w:r>
        <w:rPr>
          <w:rFonts w:ascii="Times New Roman" w:hAnsi="Times New Roman"/>
          <w:color w:val="000000"/>
          <w:sz w:val="20"/>
        </w:rPr>
        <w:t xml:space="preserve"> of the Company Disclosure Letter lists all current material Regulatory Authorizations held by the Company and its Subsidiaries. Since January 1, 2024, there have been no occurrences or events, or Actions that are pending, under investigation or, to the Knowledge of the Company, threatened, nor has the Company or its Subsidiaries since January 1, 2024 received any written notification from a Governmental Body, which in each case has resulted in or would reasonably be expected to result in the material limitation, adverse modification, revocation, withdrawal, termination, cancellation, lapse, integrity review, suspension, or any other materially adverse Action against any such material Regulatory Authorization, and to the Knowledge of the Company, no facts or circumstances exist that would be reasonably likely to cause any such Action. Since January 1, 2024, neither the Company nor any of its Subsidiaries has received written notice of any pending or, to the Knowledge of the Company, threatened claim, suit, proceeding, hearing, enforcement, audit, investigation, arbitration or other Action from any Governmental Body alleging that any operation or activity of the Company or any of its Subsidiaries is in material violation of any applicable Healthcare Law or Regulatory Authorization. The Contemplated Transactions, in and of themselves, will not cause the revocation or cancellation of any material Regulatory Authorization pursuant to the terms of any such Regulatory Authorization.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Since January 1, 2024, all of the Company’s and each of its Subsidiaries’ Products and, to the Knowledge of the Company, each of VIE Products, in each case,  that are subject to the jurisdiction of the FDA, DEA, EMA, MHRA, or other Governmental Body have been and are being researched, manufactured, packaged, imported, exported, processed, developed, labeled, stored, shipped, handled, warehoused, distributed, and tested by or on behalf of the Company or any of its Subsidiaries in material compliance with all applicable requirements under the Regulatory Authorizations and applicable Healthcare Laws. None of the Company’s nor any of its Subsidiaries’ Products, nor, to the Knowledge of the Company, any of the VIE Products, have been adulterated or misbranded in any material respect, or prohibited from introduction into interstate commerce under applicable Healthcare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Since January 1, 2024: (i) the Company and its Subsidiaries (excluding the VIEs) and, to the Knowledge of the Company, the VIEs have filed, maintained or furnished all material applications, reports, documents, data, claims, Regulatory Authorizations, amendments, modifications, notices, declarations, listings, registrations, reports and other information required to be filed, maintained or furnished to the FDA, DEA, EMA, MHRA, or any other Governmental Body in connection with the Products or, to the Knowledge of the Company, the VIE Products, or the operation of the business (collectively, the “</w:t>
      </w:r>
      <w:r>
        <w:rPr>
          <w:rFonts w:ascii="Times New Roman" w:hAnsi="Times New Roman"/>
          <w:color w:val="000000"/>
          <w:sz w:val="20"/>
          <w:u w:val="single"/>
        </w:rPr>
        <w:t>Submissions</w:t>
      </w:r>
      <w:r>
        <w:rPr>
          <w:rFonts w:ascii="Times New Roman" w:hAnsi="Times New Roman"/>
          <w:color w:val="000000"/>
          <w:sz w:val="20"/>
        </w:rPr>
        <w:t>,” which term, when used in reference to filings by the VIEs, shall be deemed to be made to the Knowledge of the Company), (ii) all Submissions utilized by the Company and its Subsidiaries as the basis for, or submitted by the Company or any of its Subsidiaries in connection with, any and all requests for the Regulatory Authorizations relating to the Company or any of its Subsidiaries were to the Knowledge of the Company, (A) in compliance in all material respects with applicable Healthcare Laws when filed, maintained, or furnished, and (B) complete and correct in all material respects as of the date of submission (or were corrected in or supplemented by a subsequent filing), and (iii) the Company and its Subsidiaries have not received any written notice of any material deficiencies asserted by any applicable Governmental Body with respect to any such Submissions. To the Company’s Knowledge, no facts or circumstances exist that would be reasonably likely to cause any Governmental Body to take action to materially limit, suspend, materially modify, or revoke any material Regulatory Authorization. Any material updates, changes, corrections, or modifications to such documents required under applicable Healthcare Laws have been submitted in a timely and complete manner. As of the date of this Agreement, the Company has made available to Parent true, complete and accurate copies of all material data and reports with respect to regulatory applications, studies and trials, and all other material information regarding the quality, efficacy and safety of the Products, including copies of all communications from Governmental Bodies relating to the Products.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To the extent applicable to the Company’s or its Subsidiaries’ activities, the Company and each relevant Subsidiary holds all registrations issued by the DEA and all other Permits required under the Federal Controlled Substances Act (21 U.S.C. § 801 et seq.) and applicable state controlled substance Laws for the research, development, possession, use, storage, handling, disposal, and any other activities involving controlled substances (“Controlled Substances”). Since January 1, 2024, the Company and each of its Subsidiaries has been in material compliance with all applicable Laws relating to controlled substances, including the Federal Controlled Substances Act, all applicable DEA regulations, and all applicable state controlled substance Laws. To the extent applicable to the Company’s or its Subsidiaries’ activities, the Company and each relevant Subsidiary maintains policies, procedures, and security measures that comply in all material respects with all applicable Laws governing the handling, storage, recordkeeping, and disposal of Controlled Substances.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Since January 1, 2024, neither the Company nor any of its Subsidiaries (excluding the VIEs) nor any of their respective officers or employees or, to the Knowledge of the Company, the VIEs and any of their respective officers or employees or the Company’s or any of its Subsidiaries’ agents or clinical investigators acting for or on behalf of the Company has (i) made an untrue statement of a material fact or fraudulent statement to any Governmental Body, (ii) failed to disclose a material fact required to be disclosed to any Governmental Body, or (iii) committed any act, made any statement, or failed to make any statement, in each of clauses (i) through (iii) that would reasonably be expected to provide a basis for the FDA or any other Governmental Body to invoke its policy respecting “Fraud, Untrue Statements of Material Facts, Bribery, and Illegal Gratuities”, set forth in 56 Fed. Reg. 46191 (September 10, 1991), and any amendments thereto, or any similar policy or Law regarding the communication or submission of false information to any applicable Governmental Body. Neither the Company nor any of its Subsidiaries has committed or engaged in any fraud or falsification or forgery of any research or development data, report, studies or publications or of any document or statement voluntarily submitted or required to be submitted to any Governmental Body. Neither the Company nor its Subsidiaries has received any written notice from any Governmental Body alleging any instance or investigation of research misconduct (i.e., falsification or fabrication of data or plagiarism) with respect to any nonclinical studies, tests or clinical trials with which the Company or any of its Subsidiaries has been involved. None of the Company, any of its Subsidiaries (excluding the VIEs), any of their respective officers or employees or, to the Knowledge of the Company, any of the VIEs or any of their respective officers or employees, nor, to the Knowledge of the Company, any of the Company’s or its Subsidiaries’ agents, clinical investigators, or institutional review boards (A) is or has been debarred or disqualified by the FDA, or is listed on the U.S. General Services Administration or the Department of Health and Human Services Office of Inspector General excluded individuals and entities listings, nor has the Company or any of its Subsidiaries (excluding the VIEs) or, to the Knowledge of the Company, any of the VIEs, received written notice from any Governmental Body of an impending or potential exclusion, debarment or listing of the Company or any of its Subsidiaries; or (B) has been convicted of any crime or engaged in any conduct that has resulted in, or would reasonably be expected to result in, debarment under 21 U.S.C. Section 335a(a) or (b), exclusion from participation in any Federal Health Care Program pursuant to 42 U.S.C. Section 1320a-7 or disqualification from serving as an investigator under 21 C.F.R. Parts 312 or 812. No Action that would reasonably be likely to result in such a debarment, exclusion or disqualification is pending or, to the Company’s Knowledge, threatened against the Company, any of its Subsidiaries (excluding the VIEs) or any of their respective officers, employees, contractors or agents or, to the Knowledge of the Company, any of the VIEs or any of their respective officers, employees, contractors or agents.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Since January 1, 2024, the manufacture of Products and, to the Knowledge of the Company, the VIE Products, in each case, by or on behalf of the Company or any of its Subsidiaries has been and is being conducted in material compliance with all applicable Laws including the current Good Manufacturing Practices.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Since January 1, 2024, all clinical and preclinical studies and other studies and tests conducted by or on behalf of the Company or any of its Subsidiaries, with respect to the Products, and, to the Knowledge of the Company, by or on behalf of the VIEs with respect to the VIE Products, have been, and if still pending are being, conducted in material compliance with all applicable research protocols, patient privacy requirements, corrective action plans, Good Clinical Practices, Good Laboratory Practices, institutional review board requirements and all applicable Healthcare Laws. Since January 1, 2024, neither the Company nor any of its Subsidiaries has received any written notice or other communication from any Governmental Body, institutional review board, independent ethics committee or any other similar body that it has (i) refused to approve any preclinical or clinical study or any amendment to a protocol for any preclinical or clinical study other than in the normal course, (ii) suspended, terminated or materially adversely modified any preclinical or clinical study conducted by or on behalf of the Company or any of its Subsidiaries, as applicable, with respect to the Products, or, to the Knowledge of the Company, by or on behalf of the VIEs with respect to the VIE Products, or placed any clinical study of the Products or, to the Knowledge of the Company, the VIE Products on “clinical hold”, (iii) suspended or terminated any IND related to the Products or to the Knowledge of the Company, the VIE Products, as applicable, or (iv) recalled or suspended the research, development, manufacture, import, export, or distribution of the Products or, to the Knowledge of the Company, the VIE Products (collectively, “</w:t>
      </w:r>
      <w:r>
        <w:rPr>
          <w:rFonts w:ascii="Times New Roman" w:hAnsi="Times New Roman"/>
          <w:color w:val="000000"/>
          <w:sz w:val="20"/>
          <w:u w:val="single"/>
        </w:rPr>
        <w:t>Healthcare Correspondence</w:t>
      </w:r>
      <w:r>
        <w:rPr>
          <w:rFonts w:ascii="Times New Roman" w:hAnsi="Times New Roman"/>
          <w:color w:val="000000"/>
          <w:sz w:val="20"/>
        </w:rPr>
        <w:t>”), and to the Knowledge of the Company, there exist no facts or circumstances reasonably likely to give rise to any such Healthcare Correspondence.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Since January 1, 2024, none of the Company or its Subsidiaries or any person acting on their behalf with respect to the Products or, to the Knowledge of the Company, the VIE Products, has (i) been subject to a Governmental Body shutdown or import or export prohibition or (ii) received any Form FDA-483 or notice of inspectional observations, “warning letter,” “untitled letter” or any similar written correspondence from any Governmental Body alleging or asserting material noncompliance with any applicable Law, including Healthcare Laws, or Permit, including any Regulatory Authorizations and, to the Knowledge of the Company, no Governmental Body has threatened such action. Between January 1, 2024 and the date of this Agreement, neither the Company nor any of its Subsidiaries has either voluntarily or involuntarily, initiated, conducted or issued, or caused to be initiated, conducted or issued, any investigator notice, or other notice, recall, safety alert, or Action relating to an alleged lack of safety or efficacy or material regulatory compliance of the Products or, to the Knowledge of the Company, the VIE Products.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Each of the Company and its Subsidiaries (excluding the Non-Controlled VIE) is, and to the Knowledge of the Company, the Non-Controlled VIE is, and at all times between January 1, 2024 and the date of this Agreement each has been, in material compliance with all applicable Healthcare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Neither the Company nor any of its Subsidiaries is a party to any corporate integrity agreements, monitoring agreements, consent decrees, deferred prosecution agreements, non-prosecution agreements, settlement orders or similar agreements with or imposed by any Governmental Body.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(k)        To the extent required by applicable Healthcare Laws and commensurate with its current business and scope of operations, the Company and each of its Subsidiaries (excluding the Non-Controlled VIE), and, to the Knowledge of the Company, the Non-Controlled VIE, have implemented a compliance program that conforms to, and materially ensures compliance with, applicable Healthcare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The compensation that the Company and each of its Subsidiaries pay, and have paid, to licensed health care professionals (i) is for bona fide purposes, (ii) is for commercially reasonable services required by the Company or any of its Subsidiaries for their respective business or operations, and (iii) complies with applicable Healthcare Laws in all material respects.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(m)     None of the Company, any of its Subsidiaries (excluding the Non-Controlled VIE) or, to the Knowledge of the Company, the Non-Controlled VIE, with the exception of any Company Plan, is or has been a “Covered Entity” or a “Business Associate,” as those terms are defined under HIPAA. None of the Company, any of its Subsidiaries (excluding the VIEs) or, to the Knowledge of the Company, the VIEs, has entered into a “Business Associate” contract with any “Covered Entity,” as such terms are defined under HIPAA, or (ii) “a covered person” under the DSP, or knowingly engaged in or directed any “covered data transaction” as that term is defined in the DSP, except in compliance with the DSP.</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(n)         None of the Company, any of its Subsidiaries, any of their respective directors, officers, managers or employees, or, to the Knowledge of the Company, the Non-Controlled VIE, any of their respective directors, officers, managers or employees, or any of the Company’s and its Subsidiaries’ respective agents, contractors or any other Person acting on behalf of the Company or any of its Subsidiaries, has at any time since January 1, 2024, in any material respect, (i) violated or been in violation of any provision of the U.S. Foreign Corrupt Practices Act of 1977 (the “</w:t>
      </w:r>
      <w:r>
        <w:rPr>
          <w:rFonts w:ascii="Times New Roman" w:hAnsi="Times New Roman"/>
          <w:color w:val="000000"/>
          <w:sz w:val="20"/>
          <w:u w:val="single"/>
        </w:rPr>
        <w:t>FCPA</w:t>
      </w:r>
      <w:r>
        <w:rPr>
          <w:rFonts w:ascii="Times New Roman" w:hAnsi="Times New Roman"/>
          <w:color w:val="000000"/>
          <w:sz w:val="20"/>
        </w:rPr>
        <w:t>”), (ii) violated or been in violation of any applicable Law enacted in any jurisdiction in connection with or arising under the OECD Convention on Combating Bribery of Foreign Public Officials in International Business Transactions (the “</w:t>
      </w:r>
      <w:r>
        <w:rPr>
          <w:rFonts w:ascii="Times New Roman" w:hAnsi="Times New Roman"/>
          <w:color w:val="000000"/>
          <w:sz w:val="20"/>
          <w:u w:val="single"/>
        </w:rPr>
        <w:t>OECD Convention</w:t>
      </w:r>
      <w:r>
        <w:rPr>
          <w:rFonts w:ascii="Times New Roman" w:hAnsi="Times New Roman"/>
          <w:color w:val="000000"/>
          <w:sz w:val="20"/>
        </w:rPr>
        <w:t>”), (iii) violated or been in violation of any provision of the UK Bribery Act of 2010 (the “</w:t>
      </w:r>
      <w:r>
        <w:rPr>
          <w:rFonts w:ascii="Times New Roman" w:hAnsi="Times New Roman"/>
          <w:color w:val="000000"/>
          <w:sz w:val="20"/>
          <w:u w:val="single"/>
        </w:rPr>
        <w:t>UK Bribery Act</w:t>
      </w:r>
      <w:r>
        <w:rPr>
          <w:rFonts w:ascii="Times New Roman" w:hAnsi="Times New Roman"/>
          <w:color w:val="000000"/>
          <w:sz w:val="20"/>
        </w:rPr>
        <w:t>”), (iv) violated any anti-bribery or anti-corruption Law in any non-U.S. jurisdiction, or (v) violated or been in violation of any other Laws regarding (A) use of funds or other resources for political activity or (B) campaign contributions, lobbying activities, interactions with government officials, political parties, political committees, candidates for public office, or other politically exposed persons, including any lobbying-related offense, unlawful political contributions, pay-to-play violations, failures to register or report lobbying activity, impermissible gifts, entertainment, travel, misuse of corporate or other funds for political purposes, commercial bribery, influence peddling, or other political, election-related, government ethics, or public integrity misconduct. The Company and its Subsidiaries have instituted and maintained policies and procedures designed to prevent such actions to the extent such Laws are applicable to the Company or any of its Subsidiaries. None of the Company, any of its Subsidiaries (excluding the Non-Controlled VIE), any of their respective directors, officers, managers or employees, or, to the Knowledge of the Company, the Non-Controlled VIE, any of their respective directors, officers, managers or employees, or any of the Company’s and its Subsidiaries’ respective agents, contractors or any other Person acting on behalf of the Company or any of its Subsidiaries, has, at any time since January 1, 2024, in any material respect, (i) made, offered to make, promised to make, or authorized the payment or giving of, directly or indirectly, any bribe, rebate, payoff, influence payment, kickback or other unlawful payment or gift of money or anything of value prohibited under any applicable Law addressing matters comparable to those addressed by the FCPA, the UK Bribery Act, or the OECD Convention implementing legislation concerning such payments or gifts in any jurisdiction (any such payment, a “</w:t>
      </w:r>
      <w:r>
        <w:rPr>
          <w:rFonts w:ascii="Times New Roman" w:hAnsi="Times New Roman"/>
          <w:color w:val="000000"/>
          <w:sz w:val="20"/>
          <w:u w:val="single"/>
        </w:rPr>
        <w:t>Prohibited Payment</w:t>
      </w:r>
      <w:r>
        <w:rPr>
          <w:rFonts w:ascii="Times New Roman" w:hAnsi="Times New Roman"/>
          <w:color w:val="000000"/>
          <w:sz w:val="20"/>
        </w:rPr>
        <w:t>”) or (ii) received written notice that it is subject to any investigation by any Governmental Body with regard to any Prohibited Payment.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         Since April 24, 2019, the Company and its Subsidiaries, and their respective directors, officers, and employees, and to the Knowledge of the Company, any agents acting on their behalf, (i) are and have been in material compliance with U.S. and any applicable Sanctions Laws and U.S. and applicable foreign Laws pertaining to export and import controls, including those administered by the U.S. Departments of Commerce and State, except to the extent inconsistent with U.S. Law, and applicable anti-money laundering Laws (collectively, “</w:t>
      </w:r>
      <w:r>
        <w:rPr>
          <w:rFonts w:ascii="Times New Roman" w:hAnsi="Times New Roman"/>
          <w:color w:val="000000"/>
          <w:sz w:val="20"/>
          <w:u w:val="single"/>
        </w:rPr>
        <w:t>Trade Controls</w:t>
      </w:r>
      <w:r>
        <w:rPr>
          <w:rFonts w:ascii="Times New Roman" w:hAnsi="Times New Roman"/>
          <w:color w:val="000000"/>
          <w:sz w:val="20"/>
        </w:rPr>
        <w:t>”) and (ii) have not engaged in any material business or dealings with or for the benefit of any Sanctioned Person, in violation of Trade Controls.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(p)        The Company and each of its Subsidiaries is, and has since January 1, 2024 been, in compliance in all material respects with all applicable (i) Privacy Laws, including providing any notice, obtaining any consent or prior authorization, and conducting any assessment required under applicable Privacy Laws (including with respect to the Personal Information of clinical trial participants, patients, patient family members, caregivers or advocates, employees, physicians and other health care professionals, clinical trial investigators, researchers and pharmacists), (ii) externally published policies, procedures, notices, and/or statements related to privacy, security or the Processing of Personal Information (each, a “</w:t>
      </w:r>
      <w:r>
        <w:rPr>
          <w:rFonts w:ascii="Times New Roman" w:hAnsi="Times New Roman"/>
          <w:color w:val="000000"/>
          <w:sz w:val="20"/>
          <w:u w:val="single"/>
        </w:rPr>
        <w:t>Privacy Policy</w:t>
      </w:r>
      <w:r>
        <w:rPr>
          <w:rFonts w:ascii="Times New Roman" w:hAnsi="Times New Roman"/>
          <w:color w:val="000000"/>
          <w:sz w:val="20"/>
        </w:rPr>
        <w:t>”), and (iii) contractual commitments related to privacy, security, or the Processing of Personal Information (provided that for purposes of this clause (iii), such representation is made solely as to the Knowledge of the Company with respect to the Non-Controlled VIE) (collectively as to (i), (ii), and (iii), the “</w:t>
      </w:r>
      <w:r>
        <w:rPr>
          <w:rFonts w:ascii="Times New Roman" w:hAnsi="Times New Roman"/>
          <w:color w:val="000000"/>
          <w:sz w:val="20"/>
          <w:u w:val="single"/>
        </w:rPr>
        <w:t>Privacy Requirements</w:t>
      </w:r>
      <w:r>
        <w:rPr>
          <w:rFonts w:ascii="Times New Roman" w:hAnsi="Times New Roman"/>
          <w:color w:val="000000"/>
          <w:sz w:val="20"/>
        </w:rPr>
        <w:t>”). To the extent required by Privacy Laws, the Company and each of its Subsidiaries have provided, or caused to be provided, a Privacy Policy to individuals prior to the collection of any Personal Information. Since January 1, 2024, (i) there have been no claims, actions, proceedings, suits, orders, audits, inquiries or complaints that have been asserted or threatened against the Company or any of its Subsidiaries by any Governmental Body or Person alleging a violation of Privacy Laws or Privacy Policies and (ii) neither the Company nor any of its Subsidiaries have been the subject of any investigation or enforcement Action by any Governmental Body alleging violations of Privacy Laws or otherwise relating to the Company’s or its Subsidiaries’ collection, use, or Processing of Personal Information.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(q)     The Company and each of its Subsidiaries (excluding the Non-Controlled VIE), and, to the Knowledge of the Company, the Non-Controlled VIE, (i) have implemented and maintain appropriate written policies and procedures, and commercially reasonable technical, physical, and organizational measures designed to protect Personal Information in their possession or under their control from unlawful or unauthorized access, use, loss, modification, or disclosure, and periodically assess risks to privacy and the confidentiality and security of such Personal Information and (ii) contractually obligates any third party Processing Personal Information at the direction of or on its behalf to implement and maintain procedures and practices with respect to such Processing. Since January 1, 2024, none of the Company, any of its Subsidiaries (excluding the Non-Controlled VIE) or, to the Knowledge of the Company, the Non-Controlled VIE, or any third party Processing Personal Information on the Company’s or its Subsidiaries’ behalf has (i) experienced an unauthorized or unlawful acquisition of, access to, disclosure, use or loss of Personal Information including any such event that triggered a notification obligation to any Person under applicable Privacy Laws, or any other data breach or cybersecurity attack or incident (a “</w:t>
      </w:r>
      <w:r>
        <w:rPr>
          <w:rFonts w:ascii="Times New Roman" w:hAnsi="Times New Roman"/>
          <w:color w:val="000000"/>
          <w:sz w:val="20"/>
          <w:u w:val="single"/>
        </w:rPr>
        <w:t>Security Incident</w:t>
      </w:r>
      <w:r>
        <w:rPr>
          <w:rFonts w:ascii="Times New Roman" w:hAnsi="Times New Roman"/>
          <w:color w:val="000000"/>
          <w:sz w:val="20"/>
        </w:rPr>
        <w:t>”), (ii) been notified in writing by any Person of any Security Incident, or (iii) notified individuals or any Governmental Body of any Security Incident.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(r)       To the Knowledge of the Company, the Company’s and its Subsidiaries’ role in the execution, delivery and performance of this Agreement and the consummation of the transactions contemplated hereby will not violate any Privacy Laws.  The Company and each of its Subsidiaries does not use, develop, import, distribute or otherwise provide any AI Technology that falls within the scope of prohibited or high-risk artificial intelligence practices under Regulation (EU) 2024/1689.</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(s)       Between January 1, 2024 and the date of this Agreement, neither the Company nor any of its Subsidiaries or their respective owners, directors, officers or employees or, to the Knowledge of the Company, any Person acting at the direction of or on behalf of the Company or any of its Subsidiaries, including contractors, vendors, or other personnel: (i) has been charged with, convicted of, or entered into a plea of guilty or </w:t>
      </w:r>
      <w:r>
        <w:rPr>
          <w:rFonts w:ascii="Times New Roman" w:hAnsi="Times New Roman"/>
          <w:i/>
          <w:color w:val="000000"/>
          <w:sz w:val="20"/>
        </w:rPr>
        <w:t>nolo contendere</w:t>
      </w:r>
      <w:r>
        <w:rPr>
          <w:rFonts w:ascii="Times New Roman" w:hAnsi="Times New Roman"/>
          <w:color w:val="000000"/>
          <w:sz w:val="20"/>
        </w:rPr>
        <w:t xml:space="preserve"> to any criminal or civil offense relating to the delivery of an item or service under any Federal Health Care Program, (x) has been debarred, excluded or suspended from participation in any Federal Health Care Program, (iii) has had a civil monetary penalty assessed against it, him or her under 42 U.S.C. § 1320a-7a, (iv) is, or has been listed on the list of parties excluded from federal procurement programs and non-procurement programs as maintained in the Government Services Administration’s System for Award Management or other federal agencies, or (v) has received written notice that it is the target or subject of any current or pending investigation relating to any Federal Health Care Program-related offense or (vi) has engaged in any activity that is in violation of, or is cause for civil penalties, debarment, or mandatory or permissive exclusion under federal or state Laws (provided that for purposes of this clause (vi), such representation is made solely as to the Knowledge of the Company with respect to the VIEs).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3.20.      </w:t>
      </w:r>
      <w:r>
        <w:rPr>
          <w:rFonts w:ascii="Times New Roman" w:hAnsi="Times New Roman"/>
          <w:color w:val="000000"/>
          <w:sz w:val="20"/>
          <w:u w:val="single"/>
        </w:rPr>
        <w:t>Suppliers</w:t>
      </w:r>
      <w:r>
        <w:rPr>
          <w:rFonts w:ascii="Times New Roman" w:hAnsi="Times New Roman"/>
          <w:color w:val="000000"/>
          <w:sz w:val="20"/>
        </w:rPr>
        <w:t xml:space="preserve">. </w:t>
      </w:r>
      <w:r>
        <w:rPr>
          <w:rFonts w:ascii="Times New Roman" w:hAnsi="Times New Roman"/>
          <w:color w:val="000000"/>
          <w:sz w:val="20"/>
          <w:u w:val="single"/>
        </w:rPr>
        <w:t>Section 3.20</w:t>
      </w:r>
      <w:r>
        <w:rPr>
          <w:rFonts w:ascii="Times New Roman" w:hAnsi="Times New Roman"/>
          <w:color w:val="000000"/>
          <w:sz w:val="20"/>
        </w:rPr>
        <w:t xml:space="preserve"> of the Company Disclosure Letter sets forth a complete and accurate list of the top ten (10) suppliers of materials, products or services related to the business of the Company and its Subsidiaries (measured by the aggregate amount purchased by the Company or its Subsidiaries) for the fiscal year ended December 31, 2025 (the “</w:t>
      </w:r>
      <w:r>
        <w:rPr>
          <w:rFonts w:ascii="Times New Roman" w:hAnsi="Times New Roman"/>
          <w:color w:val="000000"/>
          <w:sz w:val="20"/>
          <w:u w:val="single"/>
        </w:rPr>
        <w:t>Material Suppliers</w:t>
      </w:r>
      <w:r>
        <w:rPr>
          <w:rFonts w:ascii="Times New Roman" w:hAnsi="Times New Roman"/>
          <w:color w:val="000000"/>
          <w:sz w:val="20"/>
        </w:rPr>
        <w:t>”). No Material Supplier has, as of the date of this Agreement, provided written notice to the Company or any of its Subsidiaries of any intention to cancel, terminate or otherwise materially and adversely alter its relationship with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3.21.      </w:t>
      </w:r>
      <w:r>
        <w:rPr>
          <w:rFonts w:ascii="Times New Roman" w:hAnsi="Times New Roman"/>
          <w:color w:val="000000"/>
          <w:sz w:val="20"/>
          <w:u w:val="single"/>
        </w:rPr>
        <w:t>Brokerage</w:t>
      </w:r>
      <w:r>
        <w:rPr>
          <w:rFonts w:ascii="Times New Roman" w:hAnsi="Times New Roman"/>
          <w:color w:val="000000"/>
          <w:sz w:val="20"/>
        </w:rPr>
        <w:t xml:space="preserve">. Other than as set forth on </w:t>
      </w:r>
      <w:r>
        <w:rPr>
          <w:rFonts w:ascii="Times New Roman" w:hAnsi="Times New Roman"/>
          <w:color w:val="000000"/>
          <w:sz w:val="20"/>
          <w:u w:val="single"/>
        </w:rPr>
        <w:t>Section 3.21</w:t>
      </w:r>
      <w:r>
        <w:rPr>
          <w:rFonts w:ascii="Times New Roman" w:hAnsi="Times New Roman"/>
          <w:color w:val="000000"/>
          <w:sz w:val="20"/>
        </w:rPr>
        <w:t xml:space="preserve"> of the Company Disclosure Letter, no broker, investment banker, financial advisor or other Person is entitled to any broker’s, finder’s, financial advisor’s or other similar fee or commission in connection with the Contemplated Transactions based on any arrangement or agreement made by or on behalf of the Company or any of its Affiliates.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3.22.       </w:t>
      </w:r>
      <w:r>
        <w:rPr>
          <w:rFonts w:ascii="Times New Roman" w:hAnsi="Times New Roman"/>
          <w:color w:val="000000"/>
          <w:sz w:val="20"/>
          <w:u w:val="single"/>
        </w:rPr>
        <w:t>No Rights Agreement; Anti-Takeover Provisions</w:t>
      </w:r>
      <w:r>
        <w:rPr>
          <w:rFonts w:ascii="Times New Roman" w:hAnsi="Times New Roman"/>
          <w:color w:val="000000"/>
          <w:sz w:val="20"/>
        </w:rPr>
        <w:t xml:space="preserve">. As of the date of this Agreement, the Company is not party to a stockholder rights agreement, “poison pill” or similar anti-takeover agreement or plan. Assuming the accuracy of the representations and warranties set forth in </w:t>
      </w:r>
      <w:r>
        <w:rPr>
          <w:rFonts w:ascii="Times New Roman" w:hAnsi="Times New Roman"/>
          <w:color w:val="000000"/>
          <w:sz w:val="20"/>
          <w:u w:val="single"/>
        </w:rPr>
        <w:t>Section 4.9</w:t>
      </w:r>
      <w:r>
        <w:rPr>
          <w:rFonts w:ascii="Times New Roman" w:hAnsi="Times New Roman"/>
          <w:color w:val="000000"/>
          <w:sz w:val="20"/>
        </w:rPr>
        <w:t xml:space="preserve">, the Company Board has taken all action necessary to render Section 203 of the DGCL and any other takeover, anti-takeover, moratorium, “fair price,” “control share,” or similar Law inapplicable to the Contemplated Transactions. Assuming the accuracy of the representations and warranties set forth in </w:t>
      </w:r>
      <w:r>
        <w:rPr>
          <w:rFonts w:ascii="Times New Roman" w:hAnsi="Times New Roman"/>
          <w:color w:val="000000"/>
          <w:sz w:val="20"/>
          <w:u w:val="single"/>
        </w:rPr>
        <w:t>Section 4.9</w:t>
      </w:r>
      <w:r>
        <w:rPr>
          <w:rFonts w:ascii="Times New Roman" w:hAnsi="Times New Roman"/>
          <w:color w:val="000000"/>
          <w:sz w:val="20"/>
        </w:rPr>
        <w:t>, no restrictions of any other “business combination,” “control share acquisition,” “fair price,” “moratorium” or other anti-takeover Laws apply or will apply to the Company pursuant to this Agreement, the CVR Agreement or the Contemplated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3.23.        </w:t>
      </w:r>
      <w:r>
        <w:rPr>
          <w:rFonts w:ascii="Times New Roman" w:hAnsi="Times New Roman"/>
          <w:color w:val="000000"/>
          <w:sz w:val="20"/>
          <w:u w:val="single"/>
        </w:rPr>
        <w:t>Opinion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Company Board has received, on or prior to the date of this Agreement, the oral opinion, to be subsequently confirmed in writing, of Centerview Partners LLC to the effect that, as of the date of such opinion and based upon and subject to the matters set forth therein, including the various assumptions made, procedures followed, matters considered, and qualifications and limitations set forth therein, the Merger Consideration to be paid to the holders of Shares (other than (i) Shares that are held in the treasury of the Company or owned by the Company, (ii) Shares owned by Parent, Merger Sub or any direct or indirect wholly owned subsidiary of Parent or Merger Sub, (iii) any Dissenting Shares, and (iv) Shares held by any affiliate of the Company or Parent) pursuant to this Agreement is fair, from a financial point of view, to such holders. The Company shall provide an executed copy of such written opinion to Parent solely for informational purposes promptly after receipt thereof by the Company; provided that it is agreed and understood that such opinion is for the benefit of the Company Board and may not be relied on by Parent or Merger Sub.</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Board has received, on or prior to the date of this Agreement, the oral opinion, to be subsequently confirmed in writing, of Moelis &amp; Company LLC to the effect that, as of the date of such opinion and based upon and subject to the various assumptions made, procedures followed, matters considered and qualifications and limitations set forth therein, the Merger Consideration to be paid to the holders of Shares (other than (i) Shares that are held in the treasury of the Company or owned by the Company, (ii) Shares owned by Parent, Merger Sub or any direct or indirect wholly owned subsidiary of Parent or Merger Sub and (iii) any Dissenting Shares) pursuant to this Agreement is fair, from a financial point of view, to such holders. The Company shall provide an executed copy of such written opinion to Parent solely for informational purposes promptly after receipt thereof by the Company; provided that it is agreed and understood that such opinion is for the benefit of the Company Board and may not be relied on by Parent or Merger Sub.</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3.24.    </w:t>
      </w:r>
      <w:r>
        <w:rPr>
          <w:rFonts w:ascii="Times New Roman" w:hAnsi="Times New Roman"/>
          <w:color w:val="000000"/>
          <w:sz w:val="20"/>
          <w:u w:val="single"/>
        </w:rPr>
        <w:t>Affiliate Transactions</w:t>
      </w:r>
      <w:r>
        <w:rPr>
          <w:rFonts w:ascii="Times New Roman" w:hAnsi="Times New Roman"/>
          <w:color w:val="000000"/>
          <w:sz w:val="20"/>
        </w:rPr>
        <w:t>. No present or former officer or director of the Company or any of its Subsidiaries, or any Person owning five percent (5%) or more of the Company Common Stock, and no Affiliate of such Person or family member of any such natural Person, is a party to any Contract with or binding upon the Company, its Subsidiaries or any of its or their respective properties or assets, or has any material interest in any property or asset owned, leased, licensed, sublicensed, used or occupied by the Company or any of its Subsidiaries and neither the Company nor any of its Subsidiaries have engaged in any material transaction with any of the foregoing within the twelve (12) months preceding the date of this Agreement (each, an “</w:t>
      </w:r>
      <w:r>
        <w:rPr>
          <w:rFonts w:ascii="Times New Roman" w:hAnsi="Times New Roman"/>
          <w:color w:val="000000"/>
          <w:sz w:val="20"/>
          <w:u w:val="single"/>
        </w:rPr>
        <w:t>Affiliate Transaction</w:t>
      </w:r>
      <w:r>
        <w:rPr>
          <w:rFonts w:ascii="Times New Roman" w:hAnsi="Times New Roman"/>
          <w:color w:val="000000"/>
          <w:sz w:val="20"/>
        </w:rPr>
        <w:t xml:space="preserve">”), other than (a) as set forth in </w:t>
      </w:r>
      <w:r>
        <w:rPr>
          <w:rFonts w:ascii="Times New Roman" w:hAnsi="Times New Roman"/>
          <w:color w:val="000000"/>
          <w:sz w:val="20"/>
          <w:u w:val="single"/>
        </w:rPr>
        <w:t>Section 3.24</w:t>
      </w:r>
      <w:r>
        <w:rPr>
          <w:rFonts w:ascii="Times New Roman" w:hAnsi="Times New Roman"/>
          <w:color w:val="000000"/>
          <w:sz w:val="20"/>
        </w:rPr>
        <w:t xml:space="preserve"> of the Company Disclosure Letter, (b) compensation of directors and executive officers of the Company or any of its Subsidiaries in the ordinary course, including offer letters and/or employment agreements as applicable, and (c) equity interests granted to directors and executive officers of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3.25.   </w:t>
      </w:r>
      <w:r>
        <w:rPr>
          <w:rFonts w:ascii="Times New Roman" w:hAnsi="Times New Roman"/>
          <w:color w:val="000000"/>
          <w:sz w:val="20"/>
          <w:u w:val="single"/>
        </w:rPr>
        <w:t>No Other Representations and Warranties</w:t>
      </w:r>
      <w:r>
        <w:rPr>
          <w:rFonts w:ascii="Times New Roman" w:hAnsi="Times New Roman"/>
          <w:color w:val="000000"/>
          <w:sz w:val="20"/>
        </w:rPr>
        <w:t xml:space="preserve">. EXCEPT FOR THE REPRESENTATIONS AND WARRANTIES CONTAINED IN </w:t>
      </w:r>
      <w:r>
        <w:rPr>
          <w:rFonts w:ascii="Times New Roman" w:hAnsi="Times New Roman"/>
          <w:color w:val="000000"/>
          <w:sz w:val="20"/>
          <w:u w:val="single"/>
        </w:rPr>
        <w:t>ARTICLE III</w:t>
      </w:r>
      <w:r>
        <w:rPr>
          <w:rFonts w:ascii="Times New Roman" w:hAnsi="Times New Roman"/>
          <w:color w:val="000000"/>
          <w:sz w:val="20"/>
        </w:rPr>
        <w:t xml:space="preserve"> OF THIS AGREEMENT (AS MODIFIED BY THE COMPANY DISCLOSURE LETTER) OR IN ANY CERTIFICATE DELIVERED PURSUANT TO THIS AGREEMENT, THE COMPANY MAKES NO EXPRESS OR IMPLIED REPRESENTATION OR WARRANTY AND THE COMPANY HEREBY DISCLAIMS (AND PARENT ACKNOWLEDGES THAT IT HAS NOT RELIED UPON) ANY SUCH REPRESENTATION OR WARRANTY. IN CONNECTION WITH PARENT’S INVESTIGATION OF THE COMPANY, PARENT MAY HAVE RECEIVED FROM OR ON BEHALF OF THE COMPANY CERTAIN PROJECTIONS. THE COMPANY MAKES NO REPRESENTATIONS OR WARRANTIES WHATSOEVER WITH RESPECT TO ESTIMATES, PROJECTIONS AND OTHER FORECASTS AND PLANS (INCLUDING THE REASONABLENESS OF THE ASSUMPTIONS UNDERLYING ESTIMATES, PROJECTIONS AND FORECASTS).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REPRESENTATIONS AND WARRANTIES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PARENT AND MERGER SUB</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Parent and Merger Sub, jointly and severally, hereby represent and warrant to the Company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         </w:t>
      </w:r>
      <w:r>
        <w:rPr>
          <w:rFonts w:ascii="Times New Roman" w:hAnsi="Times New Roman"/>
          <w:color w:val="000000"/>
          <w:sz w:val="20"/>
          <w:u w:val="single"/>
        </w:rPr>
        <w:t>Organization and Corporate Power</w:t>
      </w:r>
      <w:r>
        <w:rPr>
          <w:rFonts w:ascii="Times New Roman" w:hAnsi="Times New Roman"/>
          <w:color w:val="000000"/>
          <w:sz w:val="20"/>
        </w:rPr>
        <w:t>. Each of Parent and Merger Sub is validly existing and in good standing under the Laws of the jurisdiction in which it was organized. Each of Parent and Merger Sub has all requisite corporate power and authority and all authorizations, licenses and Permits necessary to own, lease and operate its properties and to carry on its business as it is now being conducted, except where the failure to hold such authorizations, licenses and Permits would not have a Parent Material Adverse Effect. Parent, directly or indirectly, owns beneficially and of record all of the outstanding capital stock of Merger Sub free and clear of all Liens (other than any transfer restrictions arising under applicable securities Laws).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4.2.        </w:t>
      </w:r>
      <w:r>
        <w:rPr>
          <w:rFonts w:ascii="Times New Roman" w:hAnsi="Times New Roman"/>
          <w:color w:val="000000"/>
          <w:sz w:val="20"/>
          <w:u w:val="single"/>
        </w:rPr>
        <w:t>Authorization; Valid and Binding Agreement</w:t>
      </w:r>
      <w:r>
        <w:rPr>
          <w:rFonts w:ascii="Times New Roman" w:hAnsi="Times New Roman"/>
          <w:color w:val="000000"/>
          <w:sz w:val="20"/>
        </w:rPr>
        <w:t>. Except for the approval of the sole stockholder of Merger Sub, each of Parent and Merger Sub has all requisite corporate power and authority to execute and deliver this Agreement and the CVR Agreement, to perform the obligations thereunder and to consummate the Merger. No other corporate action pursuant to the Laws of the jurisdictions in which Parent or Merger Sub is organized, on the part of the Parent and Merger Sub, is necessary to authorize this Agreement and the CVR Agreement. Each of Parent and Merger Sub has duly executed and delivered this Agreement, and, assuming the due authorization, execution and delivery by the Company, this Agreement constitutes, and at the Effective Time, assuming the due authorization, execution and delivery by the Rights Agent, the CVR Agreement will constitute, its legal, valid and binding obligations, enforceable against it in accordance with their terms except as enforcement may be limited by bankruptcy, insolvency, reorganization or similar laws affecting creditors’ rights generally and by general principles of equity.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4.3.       </w:t>
      </w:r>
      <w:r>
        <w:rPr>
          <w:rFonts w:ascii="Times New Roman" w:hAnsi="Times New Roman"/>
          <w:color w:val="000000"/>
          <w:sz w:val="20"/>
          <w:u w:val="single"/>
        </w:rPr>
        <w:t>No Breach</w:t>
      </w:r>
      <w:r>
        <w:rPr>
          <w:rFonts w:ascii="Times New Roman" w:hAnsi="Times New Roman"/>
          <w:color w:val="000000"/>
          <w:sz w:val="20"/>
        </w:rPr>
        <w:t xml:space="preserve">. Assuming the accuracy of the representations set forth in </w:t>
      </w:r>
      <w:r>
        <w:rPr>
          <w:rFonts w:ascii="Times New Roman" w:hAnsi="Times New Roman"/>
          <w:color w:val="000000"/>
          <w:sz w:val="20"/>
          <w:u w:val="single"/>
        </w:rPr>
        <w:t>Section 3.4</w:t>
      </w:r>
      <w:r>
        <w:rPr>
          <w:rFonts w:ascii="Times New Roman" w:hAnsi="Times New Roman"/>
          <w:color w:val="000000"/>
          <w:sz w:val="20"/>
        </w:rPr>
        <w:t xml:space="preserve">, the execution, delivery and performance of this Agreement by Parent and Merger Sub and the consummation of the Contemplated Transactions do not, and the execution, delivery and performance of the CVR Agreement by Parent will not (a) conflict with or violate their respective certificates of incorporation or bylaws (or similar governing documents) and (b) assuming all consents, approvals, authorizations and other actions described in </w:t>
      </w:r>
      <w:r>
        <w:rPr>
          <w:rFonts w:ascii="Times New Roman" w:hAnsi="Times New Roman"/>
          <w:color w:val="000000"/>
          <w:sz w:val="20"/>
          <w:u w:val="single"/>
        </w:rPr>
        <w:t>Section 4.4</w:t>
      </w:r>
      <w:r>
        <w:rPr>
          <w:rFonts w:ascii="Times New Roman" w:hAnsi="Times New Roman"/>
          <w:color w:val="000000"/>
          <w:sz w:val="20"/>
        </w:rPr>
        <w:t xml:space="preserve"> have been obtained, and all filings and obligations described in </w:t>
      </w:r>
      <w:r>
        <w:rPr>
          <w:rFonts w:ascii="Times New Roman" w:hAnsi="Times New Roman"/>
          <w:color w:val="000000"/>
          <w:sz w:val="20"/>
          <w:u w:val="single"/>
        </w:rPr>
        <w:t>Section 4.4</w:t>
      </w:r>
      <w:r>
        <w:rPr>
          <w:rFonts w:ascii="Times New Roman" w:hAnsi="Times New Roman"/>
          <w:color w:val="000000"/>
          <w:sz w:val="20"/>
        </w:rPr>
        <w:t xml:space="preserve"> have been made, conflict with or violate any Law or order, judgment or decree to which Parent, Merger Sub, either of their Subsidiaries or any of their properties or assets is subject, except any conflicts, breaches, defaults, violations, terminations, cancellations or accelerations that would not have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4.4.      </w:t>
      </w:r>
      <w:r>
        <w:rPr>
          <w:rFonts w:ascii="Times New Roman" w:hAnsi="Times New Roman"/>
          <w:color w:val="000000"/>
          <w:sz w:val="20"/>
          <w:u w:val="single"/>
        </w:rPr>
        <w:t>Consents</w:t>
      </w:r>
      <w:r>
        <w:rPr>
          <w:rFonts w:ascii="Times New Roman" w:hAnsi="Times New Roman"/>
          <w:color w:val="000000"/>
          <w:sz w:val="20"/>
        </w:rPr>
        <w:t>. Except for (a) the applicable requirements of Antitrust and FDI Laws, (b) applicable requirements of the Exchange Act, (c) any filings required by the New York Stock Exchange and (d) the filing of the Certificate of Merger, Parent and Merger Sub are not required to submit any notice, report or other filing with any Governmental Body in connection with the execution, delivery or performance by it of this Agreement, the CVR Agreement or the consummation of the Contemplated Transactions. Other than as stated above, no consent, approval or authorization of any Governmental Body or any other party or Person is required to be obtained by the Parent or Merger Sub in connection with its execution, delivery and performance of this Agreement, the CVR Agreement or the consummation of the Contemplated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4.5.       </w:t>
      </w:r>
      <w:r>
        <w:rPr>
          <w:rFonts w:ascii="Times New Roman" w:hAnsi="Times New Roman"/>
          <w:color w:val="000000"/>
          <w:sz w:val="20"/>
          <w:u w:val="single"/>
        </w:rPr>
        <w:t>Litigation</w:t>
      </w:r>
      <w:r>
        <w:rPr>
          <w:rFonts w:ascii="Times New Roman" w:hAnsi="Times New Roman"/>
          <w:color w:val="000000"/>
          <w:sz w:val="20"/>
        </w:rPr>
        <w:t>. As of the date of this Agreement, there is no Action pending or, to the Knowledge of Parent, threatened in writing against Parent or any of its Subsidiaries that seeks to enjoin the Merger or the other Contemplated Transactions, other than any such proceedings that have not had and would not have a Parent Material Adverse Effect. Neither Parent nor any of its Subsidiaries is subject to any outstanding Governmental Order that, individually or in the aggregate, would reasonably be expected to have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4.6.       </w:t>
      </w:r>
      <w:r>
        <w:rPr>
          <w:rFonts w:ascii="Times New Roman" w:hAnsi="Times New Roman"/>
          <w:color w:val="000000"/>
          <w:sz w:val="20"/>
          <w:u w:val="single"/>
        </w:rPr>
        <w:t>Proxy Statement</w:t>
      </w:r>
      <w:r>
        <w:rPr>
          <w:rFonts w:ascii="Times New Roman" w:hAnsi="Times New Roman"/>
          <w:color w:val="000000"/>
          <w:sz w:val="20"/>
        </w:rPr>
        <w:t>. None of the information provided or to be provided in writing by Parent or Merger Sub or any of their Representatives specifically for inclusion or incorporation by reference in the Proxy Statement will, at the date the Proxy Statement is filed with the SEC and at the time the Proxy Statement is first published, sent or disseminated to the holders of Shares, contain any untrue statement of a material fact or omit to state any material fact required to be stated therein or necessary in order to make the statements therein, in light of the circumstances under which they were made, not misleading.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4.7.     </w:t>
      </w:r>
      <w:r>
        <w:rPr>
          <w:rFonts w:ascii="Times New Roman" w:hAnsi="Times New Roman"/>
          <w:color w:val="000000"/>
          <w:sz w:val="20"/>
          <w:u w:val="single"/>
        </w:rPr>
        <w:t>Brokerage</w:t>
      </w:r>
      <w:r>
        <w:rPr>
          <w:rFonts w:ascii="Times New Roman" w:hAnsi="Times New Roman"/>
          <w:color w:val="000000"/>
          <w:sz w:val="20"/>
        </w:rPr>
        <w:t>. Other than Goldman Sachs &amp; Co. LLC, no broker, investment banker, financial advisor or other Person is entitled to any broker’s, finder’s, financial advisor’s or other similar fee or commission in connection with the Contemplated Transactions based on any arrangement or agreement made by or on behalf of Parent or Merger Sub.</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4.8.        </w:t>
      </w:r>
      <w:r>
        <w:rPr>
          <w:rFonts w:ascii="Times New Roman" w:hAnsi="Times New Roman"/>
          <w:color w:val="000000"/>
          <w:sz w:val="20"/>
          <w:u w:val="single"/>
        </w:rPr>
        <w:t>Operations of Merger Sub</w:t>
      </w:r>
      <w:r>
        <w:rPr>
          <w:rFonts w:ascii="Times New Roman" w:hAnsi="Times New Roman"/>
          <w:color w:val="000000"/>
          <w:sz w:val="20"/>
        </w:rPr>
        <w:t>. Merger Sub has been formed solely for the purpose of engaging in the Contemplated Transactions and has engaged in no business activities and will have incurred no liabilities or obligations except as contemplated by this Agreement or incident to its formation and performance of its obligations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4.9.       </w:t>
      </w:r>
      <w:r>
        <w:rPr>
          <w:rFonts w:ascii="Times New Roman" w:hAnsi="Times New Roman"/>
          <w:color w:val="000000"/>
          <w:sz w:val="20"/>
          <w:u w:val="single"/>
        </w:rPr>
        <w:t>Ownership of Shares</w:t>
      </w:r>
      <w:r>
        <w:rPr>
          <w:rFonts w:ascii="Times New Roman" w:hAnsi="Times New Roman"/>
          <w:color w:val="000000"/>
          <w:sz w:val="20"/>
        </w:rPr>
        <w:t>. As of the date of this Agreement, neither Parent nor Merger Sub owns any Shares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4.10.       </w:t>
      </w:r>
      <w:r>
        <w:rPr>
          <w:rFonts w:ascii="Times New Roman" w:hAnsi="Times New Roman"/>
          <w:color w:val="000000"/>
          <w:sz w:val="20"/>
          <w:u w:val="single"/>
        </w:rPr>
        <w:t>Vote/Approval Required</w:t>
      </w:r>
      <w:r>
        <w:rPr>
          <w:rFonts w:ascii="Times New Roman" w:hAnsi="Times New Roman"/>
          <w:color w:val="000000"/>
          <w:sz w:val="20"/>
        </w:rPr>
        <w:t>. No vote or consent of the holders of any class or series of capital stock of Parent is necessary to approve the Merger. The vote or consent of the sole stockholder of Merger Sub (which will occur promptly following the execution and delivery of this Agreement) is the only vote or consent of the holders of any class or series of capital stock of Merger Sub necessary to approve this Agreement or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4.11.     </w:t>
      </w:r>
      <w:r>
        <w:rPr>
          <w:rFonts w:ascii="Times New Roman" w:hAnsi="Times New Roman"/>
          <w:color w:val="000000"/>
          <w:sz w:val="20"/>
          <w:u w:val="single"/>
        </w:rPr>
        <w:t>Funds</w:t>
      </w:r>
      <w:r>
        <w:rPr>
          <w:rFonts w:ascii="Times New Roman" w:hAnsi="Times New Roman"/>
          <w:color w:val="000000"/>
          <w:sz w:val="20"/>
        </w:rPr>
        <w:t>. Parent has sufficient cash or other liquid financial resources as of the Effective Time to consummate the Contemplated Transactions, including payment in cash of the aggregate Closing Amount at the Effective Time and the portion of the aggregate Merger Consideration due at the Effective Time and to pay all related fees and expenses. Parent and Merger Sub acknowledge that their obligations under this Agreement are not contingent or conditioned in any manner on obtaining any financing.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4.12.     </w:t>
      </w:r>
      <w:r>
        <w:rPr>
          <w:rFonts w:ascii="Times New Roman" w:hAnsi="Times New Roman"/>
          <w:color w:val="000000"/>
          <w:sz w:val="20"/>
          <w:u w:val="single"/>
        </w:rPr>
        <w:t>Investment Intention</w:t>
      </w:r>
      <w:r>
        <w:rPr>
          <w:rFonts w:ascii="Times New Roman" w:hAnsi="Times New Roman"/>
          <w:color w:val="000000"/>
          <w:sz w:val="20"/>
        </w:rPr>
        <w:t>. Parent is acquiring through the Merger the shares of capital stock of the Company for its own account, for investment purposes only and not with a view to the distribution (as such term is used in Section 2(11) of the Securities Act) thereof.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4.13.   </w:t>
      </w:r>
      <w:r>
        <w:rPr>
          <w:rFonts w:ascii="Times New Roman" w:hAnsi="Times New Roman"/>
          <w:color w:val="000000"/>
          <w:sz w:val="20"/>
          <w:u w:val="single"/>
        </w:rPr>
        <w:t>No Other Representations and Warranties</w:t>
      </w:r>
      <w:r>
        <w:rPr>
          <w:rFonts w:ascii="Times New Roman" w:hAnsi="Times New Roman"/>
          <w:color w:val="000000"/>
          <w:sz w:val="20"/>
        </w:rPr>
        <w:t xml:space="preserve">. EXCEPT FOR THE REPRESENTATIONS AND WARRANTIES CONTAINED IN </w:t>
      </w:r>
      <w:r>
        <w:rPr>
          <w:rFonts w:ascii="Times New Roman" w:hAnsi="Times New Roman"/>
          <w:color w:val="000000"/>
          <w:sz w:val="20"/>
          <w:u w:val="single"/>
        </w:rPr>
        <w:t>ARTICLE IV</w:t>
      </w:r>
      <w:r>
        <w:rPr>
          <w:rFonts w:ascii="Times New Roman" w:hAnsi="Times New Roman"/>
          <w:color w:val="000000"/>
          <w:sz w:val="20"/>
        </w:rPr>
        <w:t xml:space="preserve"> OF THIS AGREEMENT OR IN ANY CERTIFICATE DELIVERED PURSUANT TO THIS AGREEMENT, NEITHER PARENT NOR MERGER SUB MAKES ANY EXPRESS OR IMPLIED REPRESENTATION OR WARRANTY WITH RESPECT TO PARENT, MERGER SUB OR ANY OF THEIR RESPECTIVE SUBSIDIARIES, AND THE COMPANY IS NOT RELYING ON ANY REPRESENTATION OR WARRANTY OTHER THAN THOSE EXPRESSLY SET FORTH IN THIS AGREEMENT AND EACH OF PARENT AND MERGER SUB HEREBY DISCLAIMS ANY SUCH REPRESENTATION OR WARRANTY. WITHOUT LIMITING THE FOREGOING, THE PARTIES AGREE THAT THE MILESTONES AS SET FORTH IN THE CVR AGREEMENT IS MERELY INTENDED TO DEFINE THE MILESTONE PAYMENTS IF SUCH MILESTONES ARE ACHIEVED. NONE OF PARENT OR MERGER SUB OWES ANY DUTY, AS A FIDUCIARY OR OTHERWISE, TO THE COMPANY, ANY EQUITYHOLDER OR ANY OTHER PERSON IN CONNECTION WITH ITS OPERATION OF THE SURVIVING CORPORATION’S BUSINESS FOLLOWING THE CLOSING OTHER THAN PARENT’S OBLIGATIONS SET FORTH IN THE CVR AGREEMENT. THE COMPANY ACKNOWLEDGES THAT (A) PARENT AND MERGER SUB MAKE (I) NO GUARANTEES OR PROMISES THAT ANY MILESTONE WILL BE ACHIEVED AT ALL OR BY A SPECIFIC DATE OR IS ACHIEVABLE AND (II) NO ASSESSMENTS OR PREDICTIONS REGARDING THE LIKELIHOOD OF ANY MILESTONE BEING ACHIEVED, (B) THERE IS NO ASSURANCE THAT THE EQUITYHOLDERS WILL RECEIVE ANY MILESTONE PAYMENT, (C) PARENT AND MERGER SUB HAVE NOT, PRIOR TO OR AFTER THE DATE HEREOF, PROMISED OR PROJECTED ANY AMOUNTS TO BE RECEIVED BY THE EQUITYHOLDERS IN RESPECT OF ANY MILESTONE PAYMENT, (D) NEITHER THE COMPANY NOR ANY EQUITYHOLDER IS RELYING ON OR HAS RELIED ON ANY PROMISES, PROJECTIONS, REPRESENTATION OR WARRANTY OF ANY KIND OR OTHER INFORMATION, DOCUMENTS OR MATERIALS (OR ABSENCE THEREOF) IN RESPECT OF THE MILESTONE PAYMENTS, INCLUDING WITH RESPECT TO THE OPERATION OF THE SURVIVING CORPORATION’S BUSINESS FOLLOWING THE CLOSING, (E) EXCEPT FOR PARENT’S OBLIGATION TO USE COMMERCIALLY REASONABLE EFFORTS (AS DEFINED IN THE CVR AGREEMENT) IN RESPECT OF THE MILESTONES (AS DEFINED IN THE CVR AGREEMENT), PARENT SHALL HAVE THE RIGHT TO OWN, OPERATE, USE, LICENSE, DEVELOP AND OTHERWISE COMMERCIALIZE THE ASSETS OF THE SURVIVING CORPORATION’S BUSINESS IN ANY WAY THAT PARENT DEEMS APPROPRIATE, IN ITS SOLE DISCRETION AND (F) EXCEPT FOR PARENT’S OBLIGATION TO USE COMMERCIALLY REASONABLE EFFORTS (AS DEFINED IN THE CVR AGREEMENT) IN RESPECT OF THE MILESTONES (AS DEFINED IN THE CVR AGREEMENT), PARENT DOES NOT HAVE ANY OBLIGATION, EXPRESS OR IMPLIED, TO OWN, OPERATE, USE, LICENSE, DEVELOP OR OTHERWISE COMMERCIALIZE THE ASSETS OF THE SURVIVING CORPORATION’S BUSINESS IN ORDER TO MAXIMIZE OR EXPEDITE THE MILESTONE PAYMENTS, INCLUDING ANY OBLIGATION TO PURSUE PARTICULAR BUSINESS OPPORTUNITIES, ENGAGE IN PARTICULAR ADVERTISING OR MARKETING CAMPAIGNS OR OTHERWISE. THE COMPANY HEREBY (X) SPECIFICALLY DISCLAIMS RELIANCE ON ANY SUCH PROMISES, PROJECTIONS, REPRESENTATIONS, WARRANTIES OR OTHER INFORMATION, DOCUMENTS OR MATERIALS (OR ABSENCE THEREOF), (Y) UNDERSTANDS AND AGREES THAT ANY SUCH PROMISES, REPRESENTATIONS, WARRANTIES, PROJECTIONS, FORWARD-LOOKING STATEMENTS, BUSINESS PLANS AND OTHER INFORMATION, DOCUMENTS AND MATERIALS (OR ABSENCE THEREOF) ARE SPECIFICALLY DISCLAIMED BY PARENT AND (Z) WAIVES ANY RIGHT IT MAY OTHERWISE HAVE WITH RESPECT TO ANY SUCH PROMISES, PROJECTIONS, REPRESENTATIONS, WARRANTIES OR OTHER INFORMATION, DOCUMENTS OR MATERIALS (OR ABSENCE THEREOF). THE COMPANY FURTHER ACKNOWLEDGES AND AGREES THAT PARENT OWES NO OBLIGATION OR DUTY, AS A FIDUCIARY OR OTHERWISE, TO THE RIGHTS AGENT, ANY HOLDER OR ANY OTHER PERSON IN CONNECTION WITH ITS OPERATION OF THE SURVIVING CORPORATION’S BUSINESS FOLLOWING CLOSING EXCEPT AS EXPRESSLY STATED IN THE CVR AGREEMENT, AND ACKNOWLEDGES PARENT’S DISCLAIMER SET FORTH IN SECTION 4.3(B) OF THE CVR AGREEMENT. THE PARTIES INTEND THE EXPRESS PROVISIONS OF THIS AGREEMENT AND THE CVR AGREEMENT TO GOVERN THEIR CONTRACTUAL RELATIONSHIP AND TO SUPERSEDE ANY STANDARD OF EFFORTS OR IMPLIED COVENANT OF GOOD FAITH AND FAIR DEALING THAT MIGHT OTHERWISE BE IMPOSED BY ANY COURT OR OTHER GOVERNMENTAL BODY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COVENANTS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5.1.          </w:t>
      </w:r>
      <w:r>
        <w:rPr>
          <w:rFonts w:ascii="Times New Roman" w:hAnsi="Times New Roman"/>
          <w:color w:val="000000"/>
          <w:sz w:val="20"/>
          <w:u w:val="single"/>
        </w:rPr>
        <w:t>Covenants of the Company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Except (i) as set forth in </w:t>
      </w:r>
      <w:r>
        <w:rPr>
          <w:rFonts w:ascii="Times New Roman" w:hAnsi="Times New Roman"/>
          <w:color w:val="000000"/>
          <w:sz w:val="20"/>
          <w:u w:val="single"/>
        </w:rPr>
        <w:t>Section 5.1(a)</w:t>
      </w:r>
      <w:r>
        <w:rPr>
          <w:rFonts w:ascii="Times New Roman" w:hAnsi="Times New Roman"/>
          <w:color w:val="000000"/>
          <w:sz w:val="20"/>
        </w:rPr>
        <w:t xml:space="preserve"> of the Company Disclosure Letter, (ii) as required by applicable Law, (iii) as required by this Agreement or (iv) with the prior written consent of Parent (which consent will not be unreasonably delayed, withheld or conditioned) from the date of this Agreement until the earlier of the Effective Time or the date this Agreement is terminated (the “</w:t>
      </w:r>
      <w:r>
        <w:rPr>
          <w:rFonts w:ascii="Times New Roman" w:hAnsi="Times New Roman"/>
          <w:color w:val="000000"/>
          <w:sz w:val="20"/>
          <w:u w:val="single"/>
        </w:rPr>
        <w:t>Pre-Closing Period</w:t>
      </w:r>
      <w:r>
        <w:rPr>
          <w:rFonts w:ascii="Times New Roman" w:hAnsi="Times New Roman"/>
          <w:color w:val="000000"/>
          <w:sz w:val="20"/>
        </w:rPr>
        <w:t>”), the Company shall, and shall cause its Subsidiaries to (A) carry on its business in the ordinary course of business, (B) use commercially reasonable efforts to maintain and preserve intact in all material respects its current business organization and keep available the services of its current officers, employees and consultants on commercially reasonable terms (except as set forth in Section 5.20 of this Agreement and Section 5.20 of the Company Disclosure Letter), (C) use commercially reasonable efforts to preserve in all material respects its relationships with material customers, suppliers, partners, licensors, licensees, distributors, Governmental Bodies and any others having significant business dealings with it and (D) comply in all material respects with all Laws applicable to the business of the Company and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Except (x) as set forth in </w:t>
      </w:r>
      <w:r>
        <w:rPr>
          <w:rFonts w:ascii="Times New Roman" w:hAnsi="Times New Roman"/>
          <w:color w:val="000000"/>
          <w:sz w:val="20"/>
          <w:u w:val="single"/>
        </w:rPr>
        <w:t>Section 5.1(b)</w:t>
      </w:r>
      <w:r>
        <w:rPr>
          <w:rFonts w:ascii="Times New Roman" w:hAnsi="Times New Roman"/>
          <w:color w:val="000000"/>
          <w:sz w:val="20"/>
        </w:rPr>
        <w:t xml:space="preserve"> of the Company Disclosure Letter, (y) as required by applicable Law, or (z) as required by this Agreement, during the Pre-Closing Period, the Company shall not, and shall cause its Subsidiaries not to, without the prior written consent of Parent (which consent will not be unreasonably delayed, withheld or conditioned) (</w:t>
      </w:r>
      <w:r>
        <w:rPr>
          <w:rFonts w:ascii="Times New Roman" w:hAnsi="Times New Roman"/>
          <w:color w:val="000000"/>
          <w:sz w:val="20"/>
          <w:u w:val="single"/>
        </w:rPr>
        <w:t>provided</w:t>
      </w:r>
      <w:r>
        <w:rPr>
          <w:rFonts w:ascii="Times New Roman" w:hAnsi="Times New Roman"/>
          <w:color w:val="000000"/>
          <w:sz w:val="20"/>
        </w:rPr>
        <w:t xml:space="preserve"> that solely with respect to compliance by the VIEs with respect to the business of such VIE (but not, for the avoidance of doubt, with respect to compliance by the Company and its Subsidiaries (other than the VIEs) with its and their compliance with this </w:t>
      </w:r>
      <w:r>
        <w:rPr>
          <w:rFonts w:ascii="Times New Roman" w:hAnsi="Times New Roman"/>
          <w:color w:val="000000"/>
          <w:sz w:val="20"/>
          <w:u w:val="single"/>
        </w:rPr>
        <w:t>Section 5.1(b)</w:t>
      </w:r>
      <w:r>
        <w:rPr>
          <w:rFonts w:ascii="Times New Roman" w:hAnsi="Times New Roman"/>
          <w:color w:val="000000"/>
          <w:sz w:val="20"/>
        </w:rPr>
        <w:t xml:space="preserve">) with respect to </w:t>
      </w:r>
      <w:r>
        <w:rPr>
          <w:rFonts w:ascii="Times New Roman" w:hAnsi="Times New Roman"/>
          <w:color w:val="000000"/>
          <w:sz w:val="20"/>
          <w:u w:val="single"/>
        </w:rPr>
        <w:t>Section 5.1(b)(xii)(A)</w:t>
      </w:r>
      <w:r>
        <w:rPr>
          <w:rFonts w:ascii="Times New Roman" w:hAnsi="Times New Roman"/>
          <w:color w:val="000000"/>
          <w:sz w:val="20"/>
        </w:rPr>
        <w:t xml:space="preserve">, </w:t>
      </w:r>
      <w:r>
        <w:rPr>
          <w:rFonts w:ascii="Times New Roman" w:hAnsi="Times New Roman"/>
          <w:color w:val="000000"/>
          <w:sz w:val="20"/>
          <w:u w:val="single"/>
        </w:rPr>
        <w:t>Section 5.1(b)(xiii)</w:t>
      </w:r>
      <w:r>
        <w:rPr>
          <w:rFonts w:ascii="Times New Roman" w:hAnsi="Times New Roman"/>
          <w:color w:val="000000"/>
          <w:sz w:val="20"/>
        </w:rPr>
        <w:t xml:space="preserve">, </w:t>
      </w:r>
      <w:r>
        <w:rPr>
          <w:rFonts w:ascii="Times New Roman" w:hAnsi="Times New Roman"/>
          <w:color w:val="000000"/>
          <w:sz w:val="20"/>
          <w:u w:val="single"/>
        </w:rPr>
        <w:t>Section 5.1(b)(xviii)</w:t>
      </w:r>
      <w:r>
        <w:rPr>
          <w:rFonts w:ascii="Times New Roman" w:hAnsi="Times New Roman"/>
          <w:color w:val="000000"/>
          <w:sz w:val="20"/>
        </w:rPr>
        <w:t xml:space="preserve"> and </w:t>
      </w:r>
      <w:r>
        <w:rPr>
          <w:rFonts w:ascii="Times New Roman" w:hAnsi="Times New Roman"/>
          <w:color w:val="000000"/>
          <w:sz w:val="20"/>
          <w:u w:val="single"/>
        </w:rPr>
        <w:t>Section 5.1(b)(xxvii)</w:t>
      </w:r>
      <w:r>
        <w:rPr>
          <w:rFonts w:ascii="Times New Roman" w:hAnsi="Times New Roman"/>
          <w:color w:val="000000"/>
          <w:sz w:val="20"/>
        </w:rPr>
        <w:t xml:space="preserve"> (solely with respect to </w:t>
      </w:r>
      <w:r>
        <w:rPr>
          <w:rFonts w:ascii="Times New Roman" w:hAnsi="Times New Roman"/>
          <w:color w:val="000000"/>
          <w:sz w:val="20"/>
          <w:u w:val="single"/>
        </w:rPr>
        <w:t>Section 5.1(b)(xii)(A)</w:t>
      </w:r>
      <w:r>
        <w:rPr>
          <w:rFonts w:ascii="Times New Roman" w:hAnsi="Times New Roman"/>
          <w:color w:val="000000"/>
          <w:sz w:val="20"/>
        </w:rPr>
        <w:t xml:space="preserve">, </w:t>
      </w:r>
      <w:r>
        <w:rPr>
          <w:rFonts w:ascii="Times New Roman" w:hAnsi="Times New Roman"/>
          <w:color w:val="000000"/>
          <w:sz w:val="20"/>
          <w:u w:val="single"/>
        </w:rPr>
        <w:t>Section 5.1(b)(xiii)</w:t>
      </w:r>
      <w:r>
        <w:rPr>
          <w:rFonts w:ascii="Times New Roman" w:hAnsi="Times New Roman"/>
          <w:color w:val="000000"/>
          <w:sz w:val="20"/>
        </w:rPr>
        <w:t xml:space="preserve"> and </w:t>
      </w:r>
      <w:r>
        <w:rPr>
          <w:rFonts w:ascii="Times New Roman" w:hAnsi="Times New Roman"/>
          <w:color w:val="000000"/>
          <w:sz w:val="20"/>
          <w:u w:val="single"/>
        </w:rPr>
        <w:t>Section 5.1(b)(xviii))</w:t>
      </w:r>
      <w:r>
        <w:rPr>
          <w:rFonts w:ascii="Times New Roman" w:hAnsi="Times New Roman"/>
          <w:color w:val="000000"/>
          <w:sz w:val="20"/>
        </w:rPr>
        <w:t>, the Company shall only be required to use commercially reasonable efforts to cause the VIEs to comply with such sections):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(A) authorize, declare, set aside or pay any dividends on or make other distributions (whether in cash, stock or property) in respect of any Company Securities or (B) directly or indirectly redeem, repurchase, adjust, split, reverse split, combine, subdivide or otherwise acquire or reclassify any Company Securities, except, in each case, as a result of net share settlement of any Company Stock Option or Company RSU outstanding on the date of this Agreement to satisfy the applicable exercise price or applicable withholding Tax obligations, in each case, in accordance with the terms thereof as of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issue, sell, pledge, modify, transfer, dispose of or otherwise encumber or grant, or authorize the issuance, sale, pledge, modification, transfer, disposition or other encumbrance or grant of, any incentive equity awards (including Company Stock Options and Company RSUs), equity based awards, or Company Securities, except for issuances of Company Common Stock in respect of the exercise of a Company Stock Option or a Pre-Funded Warrant or the settlement of Company RSUs, in either case with respect to Company Stock Options or Company RSUs outstanding on the date of this Agreement (and in accordance with the terms thereof as of the date of this Agreement) or issued in accordance with the terms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except as required by the terms of a Company Plan as in effect as of the date of this Agreement, (A) increase or decrease the wages, salary or other compensation or benefits with respect to any of the Company’s or its Subsidiaries’ officers, directors, employees or other individual service providers, (B) pay or award, or commit to pay or award, any bonuses, commissions or other incentive compensation or severance, separation, retention or transaction-related payments or benefits, (C) accelerate any rights or benefits, or the vesting or funding of any payments or benefits, under any Company Plan or otherwise, (D) establish, adopt, enter into, modify, amend or terminate any Company Plan (or plan or arrangement that would be a Company Plan if in effect on the date hereof), or (E) hire, engage, promote, terminate (without cause), furlough, or temporarily layoff any employee with annual base salaries in excess of $100,000 or terminate or engage any individual independent contractor or consultant with annual billing in excess of $100,000;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take any action that would constitute a “mass layoff” or “plant closing” (as defined by WARN) or require notice to employees, or trigger any other obligations or liabilities under WARN or any similar state, local or foreign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waive or release any noncompetition, nonsolicitation, nondisclosure, noninterference, nondisparagement, or other restrictive covenant obligation of any current or former employee or independent contractor;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amend, or propose to amend, any Company Organizational Document (including by merger, consolidation or otherwise) or adopt a stockholders’ rights plan, or enter into any agreement with respect to the voting of any Company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effect a recapitalization, reclassification of shares, stock split, reverse stock split or similar transaction or authorize the issuance of any other securities in respect of, in lieu of, or in substitution for shares of any Company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(viii)    adopt a plan or agreement of complete or partial liquidation, dissolution, merger, consolidation, restructuring, recapitalization or other reorganization of the Company or any Subsidiary of the Company (other than the Merger);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(ix)         subject to </w:t>
      </w:r>
      <w:r>
        <w:rPr>
          <w:rFonts w:ascii="Times New Roman" w:hAnsi="Times New Roman"/>
          <w:color w:val="000000"/>
          <w:sz w:val="20"/>
          <w:u w:val="single"/>
        </w:rPr>
        <w:t>clause (xi)</w:t>
      </w:r>
      <w:r>
        <w:rPr>
          <w:rFonts w:ascii="Times New Roman" w:hAnsi="Times New Roman"/>
          <w:color w:val="000000"/>
          <w:sz w:val="20"/>
        </w:rPr>
        <w:t>, make any material capital expenditures, except for any unbudgeted capital expenditure, in an amount not to exceed, in any year, in the aggregate, $500,000;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         acquire or agree to acquire (by merger, consolidation or acquisition of stock or assets or otherwise) any other Person, by purchase of stock, securities or assets, or enter into any joint venture, partnership, strategic alliance, limited liability company or similar arrangement with any third Person in any one transaction or series of related transactions other than (A) the purchase of equipment, supplies or other materials from suppliers and inventory in the ordinary course of business and (B) non-exclusive licenses of Intellectual Property in the ordinary course of business;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         (A) incur, create, assume, become liable for, or materially modify the terms of (including by extending the maturity date thereof) any Indebtedness, renew or extend any existing credit or loan arrangements, enter into any “keep well” or other agreement to maintain any financial condition of another Person, issue or sell any debt securities, warrants, calls or other rights to acquire any debt securities of the Company or any of its Subsidiaries, or enter into any agreement or arrangement having the economic effect of any of the foregoing, except for indebtedness incurred in the ordinary course of business in an amount not to exceed $250,000 in the aggregate, (B) make or forgive any loans or advances to any other Person (including any Affiliate)  (other than advances to employees and other service providers for business and travel expenses in the ordinary course of business, or loans, advances or capital contributions solely among the Company and its wholly owned Subsidiaries in the ordinary course of business), or change its existing borrowing or lending arrangements for or on behalf of such Persons or Affiliates, (C) make any capital contributions to, or investments in, any other Person other than (1) solely with respect to wholly owned Subsidiaries or (2) investments in cash equivalents (including bank account balances, marketable securities, commercial paper, treasury bills and short-term investments) in the ordinary course of business or (D) repurchase, prepay, refinance or otherwise reduce or materially change the commitments of any Indebtedness;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      (A) sell, pledge, transfer, license, sublicense, assign, mortgage, encumber, lease (as lessor), subject to any Lien (other than Permitted Liens) (including under any sale-leaseback transaction or an asset securitization transaction) or otherwise abandon, withdraw or dispose of, in a single transaction or a series of related transactions, any material tangible assets with a fair market value in excess of $250,000 in the aggregate, other than dispositions of obsolete or immaterial tangible assets in the ordinary course of business consistent with past practice, or (B) enter into, materially amend, modify, terminate, or waive any rights under any Company Real Property Lease;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(xiii)     (A) sell, transfer, assign, license, sublicense, lease or otherwise encumber or dispose of (whether by merger, stock or asset sale or otherwise) to any Person (including any Affiliate) any rights to any Company Intellectual Property, except for non-exclusive licenses or sublicenses to Intellectual Property granted in the ordinary course of business consistent with past practice, (B) cancel, dedicate to the public, disclaim, forfeit, reissue, reexamine or abandon without filing a substantially identical counterpart in the same jurisdiction with the same priority or allow to lapse (except with respect to Patents expiring in accordance with their terms) any Company Intellectual Property, (C) fail to make any filing, pay any fee, or take any other action necessary to prosecute and maintain in full force and effect any Registered Company Intellectual Property, (D) make any change in Company Intellectual Property that does or would reasonably be expected to impair such Company Intellectual Property or the Company’s or any rights of any Subsidiaries of the Company with respect thereto, (E) disclose to any Person (other than Representatives of Parent and Merger Sub) any Trade Secrets, know-how or confidential or proprietary information, except, in the case of confidential or proprietary information, in the ordinary course of business to a Person that is subject to customary confidentiality obligations or (F) fail to take or maintain reasonable measures to protect the confidentiality and value of the Trade Secrets included in any of the Company Intellectual Property;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(xiv)       commence, pay, discharge, settle, compromise or satisfy any Action that is unrelated to the Contemplated Transactions, other than solely for monetary consideration (net of insurance proceeds received) not to exceed $250,000 individually or $1,000,000 in the aggregate and that do not (x) require any material actions or impose any material restrictions on the business or operations of the Company and its Subsidiaries, or after the Closing, Parent or its Subsidiaries or (y) include the admission of wrongdoing by any member of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      change its fiscal year, revalue any of its material assets or change any of its material financial, actuarial, reserving or accounting methods or practices in any respect, except as required by GAAP or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(xvi)       write up, write down or write off the book value of any material assets, except as required by GAAP or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(xvii)     (A) make, change or revoke any material Tax election with respect to the Company or any of its Subsidiaries, (B) file any material amended Tax Return, (C)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(D) extend or waive the application of any statute of limitations regarding the assessment or collection of any material Tax with respect to the Company or any of its Subsidiaries, (E) settle or compromise any material Tax liability or material Tax refund claim with respect to the Company or any of its Subsidiaries, or (F) change any material method of Tax accounting, except, in each case, as required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(xviii)    waive, release or assign any material rights or claims under, or negotiate, enter into, renew, materially amend, materially modify, exercise any material options or material rights of first offer or refusal under, or terminate, or defer or delay making any payment under, any Company Material Contract or any Contract that, if existing as of the date of this Agreement, would have been a Company Material Contract, except (A) for the expiry of any Contracts on their terms or the renewal of Contracts in the ordinary course of business and (B) with respect to purchase orders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that in no event shall the Company or any of its Subsidiaries be permitted to enter into any Contract that would be a Company Material Contract under </w:t>
      </w:r>
      <w:r>
        <w:rPr>
          <w:rFonts w:ascii="Times New Roman" w:hAnsi="Times New Roman"/>
          <w:color w:val="000000"/>
          <w:sz w:val="20"/>
          <w:u w:val="single"/>
        </w:rPr>
        <w:t>Section 3.12(a)(iii)</w:t>
      </w:r>
      <w:r>
        <w:rPr>
          <w:rFonts w:ascii="Times New Roman" w:hAnsi="Times New Roman"/>
          <w:color w:val="000000"/>
          <w:sz w:val="20"/>
        </w:rPr>
        <w:t xml:space="preserve"> (</w:t>
      </w:r>
      <w:r>
        <w:rPr>
          <w:rFonts w:ascii="Times New Roman" w:hAnsi="Times New Roman"/>
          <w:i/>
          <w:color w:val="000000"/>
          <w:sz w:val="20"/>
        </w:rPr>
        <w:t>Joint Venture Agreements; Partnership Agreements</w:t>
      </w:r>
      <w:r>
        <w:rPr>
          <w:rFonts w:ascii="Times New Roman" w:hAnsi="Times New Roman"/>
          <w:color w:val="000000"/>
          <w:sz w:val="20"/>
        </w:rPr>
        <w:t xml:space="preserve">), </w:t>
      </w:r>
      <w:r>
        <w:rPr>
          <w:rFonts w:ascii="Times New Roman" w:hAnsi="Times New Roman"/>
          <w:color w:val="000000"/>
          <w:sz w:val="20"/>
          <w:u w:val="single"/>
        </w:rPr>
        <w:t>Section 3.12(a)(iv)</w:t>
      </w:r>
      <w:r>
        <w:rPr>
          <w:rFonts w:ascii="Times New Roman" w:hAnsi="Times New Roman"/>
          <w:color w:val="000000"/>
          <w:sz w:val="20"/>
        </w:rPr>
        <w:t> (</w:t>
      </w:r>
      <w:r>
        <w:rPr>
          <w:rFonts w:ascii="Times New Roman" w:hAnsi="Times New Roman"/>
          <w:i/>
          <w:color w:val="000000"/>
          <w:sz w:val="20"/>
        </w:rPr>
        <w:t>Contracts with Restrictive Covenants</w:t>
      </w:r>
      <w:r>
        <w:rPr>
          <w:rFonts w:ascii="Times New Roman" w:hAnsi="Times New Roman"/>
          <w:color w:val="000000"/>
          <w:sz w:val="20"/>
        </w:rPr>
        <w:t xml:space="preserve">), </w:t>
      </w:r>
      <w:r>
        <w:rPr>
          <w:rFonts w:ascii="Times New Roman" w:hAnsi="Times New Roman"/>
          <w:color w:val="000000"/>
          <w:sz w:val="20"/>
          <w:u w:val="single"/>
        </w:rPr>
        <w:t>Section 3.12(a)(ix)</w:t>
      </w:r>
      <w:r>
        <w:rPr>
          <w:rFonts w:ascii="Times New Roman" w:hAnsi="Times New Roman"/>
          <w:color w:val="000000"/>
          <w:sz w:val="20"/>
        </w:rPr>
        <w:t xml:space="preserve"> (</w:t>
      </w:r>
      <w:r>
        <w:rPr>
          <w:rFonts w:ascii="Times New Roman" w:hAnsi="Times New Roman"/>
          <w:i/>
          <w:color w:val="000000"/>
          <w:sz w:val="20"/>
        </w:rPr>
        <w:t>Contracts with Rights of First Refusal or Offer</w:t>
      </w:r>
      <w:r>
        <w:rPr>
          <w:rFonts w:ascii="Times New Roman" w:hAnsi="Times New Roman"/>
          <w:color w:val="000000"/>
          <w:sz w:val="20"/>
        </w:rPr>
        <w:t xml:space="preserve">), </w:t>
      </w:r>
      <w:r>
        <w:rPr>
          <w:rFonts w:ascii="Times New Roman" w:hAnsi="Times New Roman"/>
          <w:color w:val="000000"/>
          <w:sz w:val="20"/>
          <w:u w:val="single"/>
        </w:rPr>
        <w:t>Section 3.12(a)(xiv)</w:t>
      </w:r>
      <w:r>
        <w:rPr>
          <w:rFonts w:ascii="Times New Roman" w:hAnsi="Times New Roman"/>
          <w:color w:val="000000"/>
          <w:sz w:val="20"/>
        </w:rPr>
        <w:t xml:space="preserve"> (</w:t>
      </w:r>
      <w:r>
        <w:rPr>
          <w:rFonts w:ascii="Times New Roman" w:hAnsi="Times New Roman"/>
          <w:i/>
          <w:color w:val="000000"/>
          <w:sz w:val="20"/>
        </w:rPr>
        <w:t>Contracts Restricting Dividends</w:t>
      </w:r>
      <w:r>
        <w:rPr>
          <w:rFonts w:ascii="Times New Roman" w:hAnsi="Times New Roman"/>
          <w:color w:val="000000"/>
          <w:sz w:val="20"/>
        </w:rPr>
        <w:t xml:space="preserve">) or </w:t>
      </w:r>
      <w:r>
        <w:rPr>
          <w:rFonts w:ascii="Times New Roman" w:hAnsi="Times New Roman"/>
          <w:color w:val="000000"/>
          <w:sz w:val="20"/>
          <w:u w:val="single"/>
        </w:rPr>
        <w:t>Section 3.12(a)(xx)</w:t>
      </w:r>
      <w:r>
        <w:rPr>
          <w:rFonts w:ascii="Times New Roman" w:hAnsi="Times New Roman"/>
          <w:color w:val="000000"/>
          <w:sz w:val="20"/>
        </w:rPr>
        <w:t xml:space="preserve"> (</w:t>
      </w:r>
      <w:r>
        <w:rPr>
          <w:rFonts w:ascii="Times New Roman" w:hAnsi="Times New Roman"/>
          <w:i/>
          <w:color w:val="000000"/>
          <w:sz w:val="20"/>
        </w:rPr>
        <w:t>Contracts Relating to Commercialization, Co-Promotion, etc.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(xix)       negotiate, amend, modify, extend, enter into or terminate any Labor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       abandon, withdraw, terminate, suspend, abrogate, amend or modify in any material respect any material Permits;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       enter into a research or collaboration arrangement (except for Routine Services Contracts or non-exclusive licenses in the ordinary course of business) that contemplates payments by or to the Company or any of its Subsidiaries in excess of $500,000 in any twelve (12)-month period;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(xxii)      amend, cancel or terminate any material insurance policy naming the Company or any of its Subsidiaries as an insured, a beneficiary or a loss payable payee without obtaining substitute insurance coverage;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(xxiii)    participate in any scheduled meetings or teleconferences with, or correspond in writing, communicate, or consult with the FDA or any similar Governmental Body without providing Parent with prior written notice and, within two (2) Business Days from the time such written notice is delivered, the opportunity to consult with the Company with respect to such correspondence, communication or consultation, which the Company will consider in good faith, in each case to the extent permitted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(xxiv)    enter into any new material line of business, create any new Subsidiary, or enter into any agreement or commitment that materially limits or otherwise materially restricts the Company or its Affiliates, including, following the Closing, Parent and its Affiliates from time to time engaging or competing in any line of business or in any geographic area or otherwise enter into any agreements, arrangements or commitments imposing material restrictions on its assets, operations or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(xxv)      (A) commence any clinical trial of which Parent has not been informed prior to the date of this Agreement, (B) unless mandated by any Governmental Body, initiate, discontinue, terminate, suspend or materially modify (including a material acceleration or delay thereof) any ongoing clinical trial, (C) discontinue, terminate, suspend or materially modify (including a material acceleration or delay thereof) any IND-enabling preclinical studies or other material preclinical development activities without first consulting with Parent in good faith, (D) accelerate or delay public disclosure of the results of any ongoing clinical trial from any release dates publicly announced prior to the date hereof, or (E) initiate or issue a recall, safety alert or investigator notice, without first consulting with Parent in good faith;</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(xxvi)     enter into an Affiliate Transaction; 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(xxvii)   authorize, agree or commit to take any of the actions described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(xxvi)</w:t>
      </w:r>
      <w:r>
        <w:rPr>
          <w:rFonts w:ascii="Times New Roman" w:hAnsi="Times New Roman"/>
          <w:color w:val="000000"/>
          <w:sz w:val="20"/>
        </w:rPr>
        <w:t xml:space="preserve"> of this </w:t>
      </w:r>
      <w:r>
        <w:rPr>
          <w:rFonts w:ascii="Times New Roman" w:hAnsi="Times New Roman"/>
          <w:color w:val="000000"/>
          <w:sz w:val="20"/>
          <w:u w:val="single"/>
        </w:rPr>
        <w:t>Section 5.1(b)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5.2.         </w:t>
      </w:r>
      <w:r>
        <w:rPr>
          <w:rFonts w:ascii="Times New Roman" w:hAnsi="Times New Roman"/>
          <w:color w:val="000000"/>
          <w:sz w:val="20"/>
          <w:u w:val="single"/>
        </w:rPr>
        <w:t>Access to Information; Confidentiality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Subject to </w:t>
      </w:r>
      <w:r>
        <w:rPr>
          <w:rFonts w:ascii="Times New Roman" w:hAnsi="Times New Roman"/>
          <w:color w:val="000000"/>
          <w:sz w:val="20"/>
          <w:u w:val="single"/>
        </w:rPr>
        <w:t>Section 5.2(c)</w:t>
      </w:r>
      <w:r>
        <w:rPr>
          <w:rFonts w:ascii="Times New Roman" w:hAnsi="Times New Roman"/>
          <w:color w:val="000000"/>
          <w:sz w:val="20"/>
        </w:rPr>
        <w:t xml:space="preserve">, from and after the date of this Agreement until the earlier of the Effective Time and the termination of this Agreement in accordance with its terms, the Company shall, and shall cause its Subsidiaries to, (i) upon reasonable advance notice during normal business hours and under the supervision of appropriate personnel of the Company, (A) give Parent and Merger Sub and their respective Representatives reasonable access to relevant employees and facilities and to relevant books, contracts and records of the Company and its Subsidiaries, (B) permit Parent and Merger Sub to make such non-invasive inspections as they may reasonably request and (C) cause its officers to furnish Parent and Merger Sub with such financial and operating data and other information with respect to the business, properties and personnel of the Company and its Subsidiaries as Parent or Merger Sub may from time to time reasonably request, in each case of </w:t>
      </w:r>
      <w:r>
        <w:rPr>
          <w:rFonts w:ascii="Times New Roman" w:hAnsi="Times New Roman"/>
          <w:color w:val="000000"/>
          <w:sz w:val="20"/>
          <w:u w:val="single"/>
        </w:rPr>
        <w:t>clauses (A)</w:t>
      </w:r>
      <w:r>
        <w:rPr>
          <w:rFonts w:ascii="Times New Roman" w:hAnsi="Times New Roman"/>
          <w:color w:val="000000"/>
          <w:sz w:val="20"/>
        </w:rPr>
        <w:t>-</w:t>
      </w:r>
      <w:r>
        <w:rPr>
          <w:rFonts w:ascii="Times New Roman" w:hAnsi="Times New Roman"/>
          <w:color w:val="000000"/>
          <w:sz w:val="20"/>
          <w:u w:val="single"/>
        </w:rPr>
        <w:t>(C)</w:t>
      </w:r>
      <w:r>
        <w:rPr>
          <w:rFonts w:ascii="Times New Roman" w:hAnsi="Times New Roman"/>
          <w:color w:val="000000"/>
          <w:sz w:val="20"/>
        </w:rPr>
        <w:t>, solely for the purpose of effectuating the Contemplated Transactions and integration planning and (ii) reasonably promptly (and in any event within two (2) Business Days of receipt by the Company) notify Parent of any material notice, correspondence, or communication from any Governmental Body (including FDA, DEA, EMA, and MHRA), institutional review board or clinical investigator, including any material Healthcare Correspondence following receipt by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Subject to </w:t>
      </w:r>
      <w:r>
        <w:rPr>
          <w:rFonts w:ascii="Times New Roman" w:hAnsi="Times New Roman"/>
          <w:color w:val="000000"/>
          <w:sz w:val="20"/>
          <w:u w:val="single"/>
        </w:rPr>
        <w:t>Section 8.7</w:t>
      </w:r>
      <w:r>
        <w:rPr>
          <w:rFonts w:ascii="Times New Roman" w:hAnsi="Times New Roman"/>
          <w:color w:val="000000"/>
          <w:sz w:val="20"/>
        </w:rPr>
        <w:t>, Parent, Merger Sub and the Company hereby acknowledge and agree that the Confidentiality Agreement will continue in full force and effect in accordance with its terms.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Nothing in </w:t>
      </w:r>
      <w:r>
        <w:rPr>
          <w:rFonts w:ascii="Times New Roman" w:hAnsi="Times New Roman"/>
          <w:color w:val="000000"/>
          <w:sz w:val="20"/>
          <w:u w:val="single"/>
        </w:rPr>
        <w:t>Section 5.2(a)</w:t>
      </w:r>
      <w:r>
        <w:rPr>
          <w:rFonts w:ascii="Times New Roman" w:hAnsi="Times New Roman"/>
          <w:color w:val="000000"/>
          <w:sz w:val="20"/>
        </w:rPr>
        <w:t xml:space="preserve"> requires the Company to permit any inspection, or to disclose any information (i) if such information or access would relate to documents or information concerning the evaluation or negotiation of this Agreement, the Contemplated Transactions or, subject to </w:t>
      </w:r>
      <w:r>
        <w:rPr>
          <w:rFonts w:ascii="Times New Roman" w:hAnsi="Times New Roman"/>
          <w:color w:val="000000"/>
          <w:sz w:val="20"/>
          <w:u w:val="single"/>
        </w:rPr>
        <w:t>Section 5.3</w:t>
      </w:r>
      <w:r>
        <w:rPr>
          <w:rFonts w:ascii="Times New Roman" w:hAnsi="Times New Roman"/>
          <w:color w:val="000000"/>
          <w:sz w:val="20"/>
        </w:rPr>
        <w:t xml:space="preserve">, an Acquisition Proposal or Superior Proposal or (ii) that in the reasonable judgment of the Company would (A) violate any of its or its Affiliates’ respective obligations with respect to confidentiality existing as of the date hereof or give a third party the right to terminate or accelerate an obligation under any then effective Contract to which any of the Company or its Subsidiaries is a party, (B) result in a violation of applicable Law or (C) result in loss of legal protection, including the attorney-client privilege and work product doctrine; </w:t>
      </w:r>
      <w:r>
        <w:rPr>
          <w:rFonts w:ascii="Times New Roman" w:hAnsi="Times New Roman"/>
          <w:color w:val="000000"/>
          <w:sz w:val="20"/>
          <w:u w:val="single"/>
        </w:rPr>
        <w:t>provided</w:t>
      </w:r>
      <w:r>
        <w:rPr>
          <w:rFonts w:ascii="Times New Roman" w:hAnsi="Times New Roman"/>
          <w:color w:val="000000"/>
          <w:sz w:val="20"/>
        </w:rPr>
        <w:t xml:space="preserve"> that the Company will use its reasonable best efforts to obtain any required consents for the disclosure of such information and take such other reasonable action (including entering into a joint defense agreement or similar arrangement to avoid loss of attorney-client privilege) with respect to such information as is necessary to permit disclosure to Parent without (x) jeopardizing such attorney-client privilege or work product doctrine or (y) violating applicable Law or any of the Company’s or its Affiliates’ respective obligations with respect to confidentiality, as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5.3.         </w:t>
      </w:r>
      <w:r>
        <w:rPr>
          <w:rFonts w:ascii="Times New Roman" w:hAnsi="Times New Roman"/>
          <w:color w:val="000000"/>
          <w:sz w:val="20"/>
          <w:u w:val="single"/>
        </w:rPr>
        <w:t>Acquisition Proposals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The Company shall not, and shall cause its Subsidiaries and its and their respective directors and officers not to, and shall use reasonable best efforts to cause its other Representatives not to: (i) 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(ii) directly or indirectly engage in, enter into or participate in any discussions or negotiations with any Person with respect to any Acquisition Proposal or (iii) provide any non-public information to, or afford access to the business, properties, assets, books or records of the Company and its Subsidiaries to, any Person (other than Parent, Merger Sub, or any designees of Parent or Merger Sub) in connection with any Acquisition Proposal. The Company shall and shall cause its Subsidiaries and its and their respective directors and officers to, and shall direct its Representatives to, (x) immediately cease any solicitation, discussions, or negotiations with any Person (other than Parent, Merger Sub, or any designees of Parent or Merger Sub) with respect to any Acquisition Proposal, (y) as soon as reasonably practicable (and in any event within one (1) Business Day following the date of this Agreement) request in writing the prompt return or destruction of all confidential information provided by or on behalf of the Company or its Subsidiaries to any such Person in connection with its consideration of any Acquisition Proposal and (z) as soon as reasonably practicable (and in any event within one (1) Business Day following the date of this Agreement) terminate access to any physical or electronic data rooms relating to a possible Acquisition Proposal. Notwithstanding the foregoing, the Company and its Representatives may, (A) solely in response to a </w:t>
      </w:r>
      <w:r>
        <w:rPr>
          <w:rFonts w:ascii="Times New Roman" w:hAnsi="Times New Roman"/>
          <w:i/>
          <w:color w:val="000000"/>
          <w:sz w:val="20"/>
        </w:rPr>
        <w:t>bona fide</w:t>
      </w:r>
      <w:r>
        <w:rPr>
          <w:rFonts w:ascii="Times New Roman" w:hAnsi="Times New Roman"/>
          <w:color w:val="000000"/>
          <w:sz w:val="20"/>
        </w:rPr>
        <w:t xml:space="preserve"> inquiry or proposal that did not result from a material breach of this </w:t>
      </w:r>
      <w:r>
        <w:rPr>
          <w:rFonts w:ascii="Times New Roman" w:hAnsi="Times New Roman"/>
          <w:color w:val="000000"/>
          <w:sz w:val="20"/>
          <w:u w:val="single"/>
        </w:rPr>
        <w:t>Section 5.3(a)</w:t>
      </w:r>
      <w:r>
        <w:rPr>
          <w:rFonts w:ascii="Times New Roman" w:hAnsi="Times New Roman"/>
          <w:color w:val="000000"/>
          <w:sz w:val="20"/>
        </w:rPr>
        <w:t xml:space="preserve">, seek to clarify and understand the terms and conditions of any inquiry or proposal made by any Person solely if and to the extent necessary to determine whether such inquiry or proposal constitutes an Acquisition Proposal and (B) inform a Person that has made or, to the Knowledge of the Company, is considering making an Acquisition Proposal of the provisions of this </w:t>
      </w:r>
      <w:r>
        <w:rPr>
          <w:rFonts w:ascii="Times New Roman" w:hAnsi="Times New Roman"/>
          <w:color w:val="000000"/>
          <w:sz w:val="20"/>
          <w:u w:val="single"/>
        </w:rPr>
        <w:t>Section 5.3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Notwithstanding </w:t>
      </w:r>
      <w:r>
        <w:rPr>
          <w:rFonts w:ascii="Times New Roman" w:hAnsi="Times New Roman"/>
          <w:color w:val="000000"/>
          <w:sz w:val="20"/>
          <w:u w:val="single"/>
        </w:rPr>
        <w:t>Section 5.3(a)</w:t>
      </w:r>
      <w:r>
        <w:rPr>
          <w:rFonts w:ascii="Times New Roman" w:hAnsi="Times New Roman"/>
          <w:color w:val="000000"/>
          <w:sz w:val="20"/>
        </w:rPr>
        <w:t xml:space="preserve"> or any other provision of this Agreement, if at any time following the date of this Agreement and prior to the Effective Time, (i) the Company has received a written </w:t>
      </w:r>
      <w:r>
        <w:rPr>
          <w:rFonts w:ascii="Times New Roman" w:hAnsi="Times New Roman"/>
          <w:i/>
          <w:color w:val="000000"/>
          <w:sz w:val="20"/>
        </w:rPr>
        <w:t xml:space="preserve">bona fide </w:t>
      </w:r>
      <w:r>
        <w:rPr>
          <w:rFonts w:ascii="Times New Roman" w:hAnsi="Times New Roman"/>
          <w:color w:val="000000"/>
          <w:sz w:val="20"/>
        </w:rPr>
        <w:t xml:space="preserve">Acquisition Proposal that did not, directly or indirectly, result from a material breach of </w:t>
      </w:r>
      <w:r>
        <w:rPr>
          <w:rFonts w:ascii="Times New Roman" w:hAnsi="Times New Roman"/>
          <w:color w:val="000000"/>
          <w:sz w:val="20"/>
          <w:u w:val="single"/>
        </w:rPr>
        <w:t>Section 5.3(a)</w:t>
      </w:r>
      <w:r>
        <w:rPr>
          <w:rFonts w:ascii="Times New Roman" w:hAnsi="Times New Roman"/>
          <w:color w:val="000000"/>
          <w:sz w:val="20"/>
        </w:rPr>
        <w:t xml:space="preserve"> and (ii) the Company Board or a committee thereof determines in good faith, after consultation with outside counsel and a financial advisor, that such Acquisition Proposal constitutes or is reasonably likely to lead to or result in a Superior Proposal, then the Company may (A) furnish information with respect to the Company to the Person making such Acquisition Proposal and its Representatives and (B) participate in discussions or negotiations with such Person and its Representatives regarding such Acquisition Proposal; </w:t>
      </w:r>
      <w:r>
        <w:rPr>
          <w:rFonts w:ascii="Times New Roman" w:hAnsi="Times New Roman"/>
          <w:color w:val="000000"/>
          <w:sz w:val="20"/>
          <w:u w:val="single"/>
        </w:rPr>
        <w:t>provided</w:t>
      </w:r>
      <w:r>
        <w:rPr>
          <w:rFonts w:ascii="Times New Roman" w:hAnsi="Times New Roman"/>
          <w:color w:val="000000"/>
          <w:sz w:val="20"/>
        </w:rPr>
        <w:t xml:space="preserve"> that the Company may only take the actions described in </w:t>
      </w:r>
      <w:r>
        <w:rPr>
          <w:rFonts w:ascii="Times New Roman" w:hAnsi="Times New Roman"/>
          <w:color w:val="000000"/>
          <w:sz w:val="20"/>
          <w:u w:val="single"/>
        </w:rPr>
        <w:t>clauses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 if the Company Board determines in good faith, after consultation with outside counsel, that the failure to take any such action would be, or would reasonably be expected to be, inconsistent with its fiduciary duties under applicable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(1) the Company shall not, and shall use reasonable best efforts to cause its Representatives not to, disclose any material non-public information to such Person unless the Company has, or first enters into, a confidentiality agreement with such Person with terms governing confidentiality that, taken as a whole, are not materially less restrictive or materially more favorable to the other Person than those contained in the Confidentiality Agreement, and that does not prohibit the Company from providing any information to Parent in accordance with this </w:t>
      </w:r>
      <w:r>
        <w:rPr>
          <w:rFonts w:ascii="Times New Roman" w:hAnsi="Times New Roman"/>
          <w:color w:val="000000"/>
          <w:sz w:val="20"/>
          <w:u w:val="single"/>
        </w:rPr>
        <w:t>Section 5.3</w:t>
      </w:r>
      <w:r>
        <w:rPr>
          <w:rFonts w:ascii="Times New Roman" w:hAnsi="Times New Roman"/>
          <w:color w:val="000000"/>
          <w:sz w:val="20"/>
        </w:rPr>
        <w:t xml:space="preserve"> or otherwise prohibit the Company from complying with its obligations under this </w:t>
      </w:r>
      <w:r>
        <w:rPr>
          <w:rFonts w:ascii="Times New Roman" w:hAnsi="Times New Roman"/>
          <w:color w:val="000000"/>
          <w:sz w:val="20"/>
          <w:u w:val="single"/>
        </w:rPr>
        <w:t>Section 5.3</w:t>
      </w:r>
      <w:r>
        <w:rPr>
          <w:rFonts w:ascii="Times New Roman" w:hAnsi="Times New Roman"/>
          <w:color w:val="000000"/>
          <w:sz w:val="20"/>
        </w:rPr>
        <w:t>, and (2) the Company shall, concurrently therewith or as promptly as reasonably practicable thereafter, and in any event within one (1) Business Day, provide or make available to Parent any material non-public information concerning the Company provided or made available to such other Person that was not previously provided or made available to Parent and Merger Sub. The Company shall not, directly or indirectly, release any Person from, or waive, amend or modify any provision of, or grant permission under or fail to enforce, any standstill provision in any agreement to which the Company is a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Company shall promptly (and in any event within one (1) Business Day) notify Parent in writing (email being acceptable) of the receipt by the Company or any of its Subsidiaries of any Acquisition Proposal, inquiry or other indication by any Person that it is considering making an Acquisition Proposal, or any inquiry, proposal or offer that could reasonably be expected to lead to an Acquisition Proposal. The Company shall (i) provide Parent promptly (and in any event within such one (1) Business Day period) the material terms and conditions of any such inquiry or Acquisition Proposal (including any subsequent amendments, modifications or supplements thereto), together with copies of all material documents related thereto, and the identity of the Person making any such inquiry or Acquisition Proposal and (ii) keep Parent reasonably informed of any material developments, discussions or negotiations regarding any Acquisition Proposal (including any changes to the terms thereof).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The Company Board and each committee thereof shall not, subject to the terms and conditions of this Agreement, (i) approve or recommend, or propose publicly to approve or recommend, or authorize, cause or permit the Company to enter into any letter of intent, memorandum of understanding, agreement in principle, acquisition agreement, license agreement, merger agreement, joint venture agreement, partnership agreement, collaboration agreement, revenue-sharing agreement or similar definitive agreement (other than a confidentiality agreement referred to and entered into in compliance with </w:t>
      </w:r>
      <w:r>
        <w:rPr>
          <w:rFonts w:ascii="Times New Roman" w:hAnsi="Times New Roman"/>
          <w:color w:val="000000"/>
          <w:sz w:val="20"/>
          <w:u w:val="single"/>
        </w:rPr>
        <w:t>Section 5.3(b)</w:t>
      </w:r>
      <w:r>
        <w:rPr>
          <w:rFonts w:ascii="Times New Roman" w:hAnsi="Times New Roman"/>
          <w:color w:val="000000"/>
          <w:sz w:val="20"/>
        </w:rPr>
        <w:t>) relating to, or that would reasonably be expected to lead to, any Acquisition Proposal (an “</w:t>
      </w:r>
      <w:r>
        <w:rPr>
          <w:rFonts w:ascii="Times New Roman" w:hAnsi="Times New Roman"/>
          <w:color w:val="000000"/>
          <w:sz w:val="20"/>
          <w:u w:val="single"/>
        </w:rPr>
        <w:t>Alternative Acquisition Agreement</w:t>
      </w:r>
      <w:r>
        <w:rPr>
          <w:rFonts w:ascii="Times New Roman" w:hAnsi="Times New Roman"/>
          <w:color w:val="000000"/>
          <w:sz w:val="20"/>
        </w:rPr>
        <w:t>”) or (ii) make a Change of Board Recommendation.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Notwithstanding </w:t>
      </w:r>
      <w:r>
        <w:rPr>
          <w:rFonts w:ascii="Times New Roman" w:hAnsi="Times New Roman"/>
          <w:color w:val="000000"/>
          <w:sz w:val="20"/>
          <w:u w:val="single"/>
        </w:rPr>
        <w:t>Section 5.3(d)</w:t>
      </w:r>
      <w:r>
        <w:rPr>
          <w:rFonts w:ascii="Times New Roman" w:hAnsi="Times New Roman"/>
          <w:color w:val="000000"/>
          <w:sz w:val="20"/>
        </w:rPr>
        <w:t xml:space="preserve"> or any other provision of this Agreement, prior to the receipt of the Company Stockholder Approval:</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the Company may terminate this Agreement to enter into an Alternative Acquisition Agreement if (A) the Company receives an Acquisition Proposal that did not, directly or indirectly, result from a material breach of </w:t>
      </w:r>
      <w:r>
        <w:rPr>
          <w:rFonts w:ascii="Times New Roman" w:hAnsi="Times New Roman"/>
          <w:color w:val="000000"/>
          <w:sz w:val="20"/>
          <w:u w:val="single"/>
        </w:rPr>
        <w:t>Section 5.3(a)</w:t>
      </w:r>
      <w:r>
        <w:rPr>
          <w:rFonts w:ascii="Times New Roman" w:hAnsi="Times New Roman"/>
          <w:color w:val="000000"/>
          <w:sz w:val="20"/>
        </w:rPr>
        <w:t xml:space="preserve"> and that the Company Board or a committee thereof determines in good faith, after consultation with outside counsel, constitutes a Superior Proposal, (B) the Company has notified Parent in writing that it intends to terminate this Agreement to enter into an Alternative Acquisition Agreement and (C) no earlier than the end of the Notice Period, the Company Board or any committee thereof determines in good faith that the Acquisition Proposal that is subject of the Determination Notice continues to constitute a Superior Proposal and that the failure to terminate this Agreement would reasonably be expected to be inconsistent with its fiduciary duties under applicable Law, after consultation with outside counsel and taking into consideration the terms of any proposed amendment or modification to this Agreement that Parent has irrevocably committed to make during the Notice Period;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       the Company Board or a committee thereof may make a Change of Board Recommendation if (A)  the Company receives an Acquisition Proposal that did not, directly or indirectly, result from a material breach of </w:t>
      </w:r>
      <w:r>
        <w:rPr>
          <w:rFonts w:ascii="Times New Roman" w:hAnsi="Times New Roman"/>
          <w:color w:val="000000"/>
          <w:sz w:val="20"/>
          <w:u w:val="single"/>
        </w:rPr>
        <w:t>Section 5.3(a)</w:t>
      </w:r>
      <w:r>
        <w:rPr>
          <w:rFonts w:ascii="Times New Roman" w:hAnsi="Times New Roman"/>
          <w:color w:val="000000"/>
          <w:sz w:val="20"/>
        </w:rPr>
        <w:t>, and the Company Board or a committee thereof determines in good faith, after consultation with outside counsel, that the Acquisition Proposal constitutes a Superior Proposal, (B) the Company has notified Parent in writing that it intends to effect a Change of Board Recommendation and (C) no earlier than the end of the Notice Period, the Company Board or a committee thereof determines in good faith that the failure to make a Change of Board Recommendation would reasonably be expected to be inconsistent with its fiduciary duties under applicable Law and that the Acquisition Proposal that is subject of the Determination Notice continues to constitute a Superior Proposal, after consultation with outside counsel and taking into consideration the terms of any proposed amendment or modification to this Agreement that Parent has irrevocably committed to make during the Notice Period;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other than in connection with an Acquisition Proposal, which is the subject of this </w:t>
      </w:r>
      <w:r>
        <w:rPr>
          <w:rFonts w:ascii="Times New Roman" w:hAnsi="Times New Roman"/>
          <w:color w:val="000000"/>
          <w:sz w:val="20"/>
          <w:u w:val="single"/>
        </w:rPr>
        <w:t>Section 5.3</w:t>
      </w:r>
      <w:r>
        <w:rPr>
          <w:rFonts w:ascii="Times New Roman" w:hAnsi="Times New Roman"/>
          <w:color w:val="000000"/>
          <w:sz w:val="20"/>
        </w:rPr>
        <w:t>, the Company Board or a committee thereof may make a Change of Board Recommendation in response to an Intervening Event if (A) the Company has notified Parent in writing that it intends to effect a Change of Board Recommendation and (B) no earlier than the end of the Notice Period, the Company Board or any committee thereof determines in good faith, after consultation with outside counsel and considering the terms of any proposed amendment or modification to this Agreement that Parent has irrevocably committed to make during the Notice Period, that the failure to effect a Change of Board Recommendation in response to such Intervening Event would reasonably be expected to be inconsistent with its fiduciary duties under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provisions of this </w:t>
      </w:r>
      <w:r>
        <w:rPr>
          <w:rFonts w:ascii="Times New Roman" w:hAnsi="Times New Roman"/>
          <w:color w:val="000000"/>
          <w:sz w:val="20"/>
          <w:u w:val="single"/>
        </w:rPr>
        <w:t>Section 5.3(e)</w:t>
      </w:r>
      <w:r>
        <w:rPr>
          <w:rFonts w:ascii="Times New Roman" w:hAnsi="Times New Roman"/>
          <w:color w:val="000000"/>
          <w:sz w:val="20"/>
        </w:rPr>
        <w:t xml:space="preserve"> apply to any amendment to the financial or other material terms of any applicable Superior Proposal with respect to </w:t>
      </w:r>
      <w:r>
        <w:rPr>
          <w:rFonts w:ascii="Times New Roman" w:hAnsi="Times New Roman"/>
          <w:color w:val="000000"/>
          <w:sz w:val="20"/>
          <w:u w:val="single"/>
        </w:rPr>
        <w:t>Section 5.3(e)(i)</w:t>
      </w:r>
      <w:r>
        <w:rPr>
          <w:rFonts w:ascii="Times New Roman" w:hAnsi="Times New Roman"/>
          <w:color w:val="000000"/>
          <w:sz w:val="20"/>
        </w:rPr>
        <w:t xml:space="preserve"> and </w:t>
      </w:r>
      <w:r>
        <w:rPr>
          <w:rFonts w:ascii="Times New Roman" w:hAnsi="Times New Roman"/>
          <w:color w:val="000000"/>
          <w:sz w:val="20"/>
          <w:u w:val="single"/>
        </w:rPr>
        <w:t>Section 5.3(e)(ii)</w:t>
      </w:r>
      <w:r>
        <w:rPr>
          <w:rFonts w:ascii="Times New Roman" w:hAnsi="Times New Roman"/>
          <w:color w:val="000000"/>
          <w:sz w:val="20"/>
        </w:rPr>
        <w:t xml:space="preserve"> and require a revised Determination Notice and a new Notice Period pursuant to clause (i)(C) or (ii)(C) as the case may be. During the Notice Period, if requested by Parent, the Company shall negotiate, and shall use reasonable best efforts to cause its Representatives to negotiate, in good faith with Parent regarding potential changes proposed by Parent to this Agreement that would eliminate the need for taking the actions set forth in </w:t>
      </w:r>
      <w:r>
        <w:rPr>
          <w:rFonts w:ascii="Times New Roman" w:hAnsi="Times New Roman"/>
          <w:color w:val="000000"/>
          <w:sz w:val="20"/>
          <w:u w:val="single"/>
        </w:rPr>
        <w:t>Section 5.3(e)(i)</w:t>
      </w:r>
      <w:r>
        <w:rPr>
          <w:rFonts w:ascii="Times New Roman" w:hAnsi="Times New Roman"/>
          <w:color w:val="000000"/>
          <w:sz w:val="20"/>
        </w:rPr>
        <w:t xml:space="preserve">, </w:t>
      </w:r>
      <w:r>
        <w:rPr>
          <w:rFonts w:ascii="Times New Roman" w:hAnsi="Times New Roman"/>
          <w:color w:val="000000"/>
          <w:sz w:val="20"/>
          <w:u w:val="single"/>
        </w:rPr>
        <w:t>Section 5.3(e)(ii)</w:t>
      </w:r>
      <w:r>
        <w:rPr>
          <w:rFonts w:ascii="Times New Roman" w:hAnsi="Times New Roman"/>
          <w:color w:val="000000"/>
          <w:sz w:val="20"/>
        </w:rPr>
        <w:t xml:space="preserve"> and </w:t>
      </w:r>
      <w:r>
        <w:rPr>
          <w:rFonts w:ascii="Times New Roman" w:hAnsi="Times New Roman"/>
          <w:color w:val="000000"/>
          <w:sz w:val="20"/>
          <w:u w:val="single"/>
        </w:rPr>
        <w:t>Section 5.3(e)(iii)</w:t>
      </w:r>
      <w:r>
        <w:rPr>
          <w:rFonts w:ascii="Times New Roman" w:hAnsi="Times New Roman"/>
          <w:color w:val="000000"/>
          <w:sz w:val="20"/>
        </w:rPr>
        <w:t xml:space="preserve"> (and in respect of a Superior Proposal, would cause such Superior Proposal to no longer constitute a Superior Proposal).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Nothing contained in this Agreement prohibits (i) the Company Board or a committee thereof from (A) taking and disclosing to the holders of Shares a position contemplated by Rule 14e-2 or Rule 14d-9 promulgated under the Exchange Act or (B) making any public statement if the Company Board or a committee thereof determines in good faith, after consultation with outside counsel, that the failure to make such statement would reasonably be expected to be inconsistent with its fiduciary duties under applicable Law or (ii) the Company or the Company Board from making any disclosure required under the Exchange Act; </w:t>
      </w:r>
      <w:r>
        <w:rPr>
          <w:rFonts w:ascii="Times New Roman" w:hAnsi="Times New Roman"/>
          <w:color w:val="000000"/>
          <w:sz w:val="20"/>
          <w:u w:val="single"/>
        </w:rPr>
        <w:t>provided</w:t>
      </w:r>
      <w:r>
        <w:rPr>
          <w:rFonts w:ascii="Times New Roman" w:hAnsi="Times New Roman"/>
          <w:color w:val="000000"/>
          <w:sz w:val="20"/>
        </w:rPr>
        <w:t xml:space="preserve"> that any such action that would otherwise constitute a Change of Board Recommendation shall be made only in compliance with </w:t>
      </w:r>
      <w:r>
        <w:rPr>
          <w:rFonts w:ascii="Times New Roman" w:hAnsi="Times New Roman"/>
          <w:color w:val="000000"/>
          <w:sz w:val="20"/>
          <w:u w:val="single"/>
        </w:rPr>
        <w:t>Section 5.3(d)</w:t>
      </w:r>
      <w:r>
        <w:rPr>
          <w:rFonts w:ascii="Times New Roman" w:hAnsi="Times New Roman"/>
          <w:color w:val="000000"/>
          <w:sz w:val="20"/>
        </w:rPr>
        <w:t xml:space="preserve"> and </w:t>
      </w:r>
      <w:r>
        <w:rPr>
          <w:rFonts w:ascii="Times New Roman" w:hAnsi="Times New Roman"/>
          <w:color w:val="000000"/>
          <w:sz w:val="20"/>
          <w:u w:val="single"/>
        </w:rPr>
        <w:t>Section 5.3(e)</w:t>
      </w:r>
      <w:r>
        <w:rPr>
          <w:rFonts w:ascii="Times New Roman" w:hAnsi="Times New Roman"/>
          <w:color w:val="000000"/>
          <w:sz w:val="20"/>
        </w:rPr>
        <w:t xml:space="preserve"> (it being understood that: (x) any “stop, look and listen” letter or similar communication limited to the information described in Rule 14d-9(f) under the Exchange Act and (y) any disclosure of information to the holders of Shares that only describes the Company’s receipt of an Acquisition Proposal and the operation of this Agreement with respect thereto and contains a statement that the Company Board has not effected a Change of Board Recommendation, in each case, shall be deemed not to be a Change of Board Recommendation).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The Company acknowledges and agrees that, for purposes of determining whether a breach of this </w:t>
      </w:r>
      <w:r>
        <w:rPr>
          <w:rFonts w:ascii="Times New Roman" w:hAnsi="Times New Roman"/>
          <w:color w:val="000000"/>
          <w:sz w:val="20"/>
          <w:u w:val="single"/>
        </w:rPr>
        <w:t>Section 5.3</w:t>
      </w:r>
      <w:r>
        <w:rPr>
          <w:rFonts w:ascii="Times New Roman" w:hAnsi="Times New Roman"/>
          <w:color w:val="000000"/>
          <w:sz w:val="20"/>
        </w:rPr>
        <w:t xml:space="preserve"> has occurred, the actions of the Company’s directors and Representatives acting in their authorized capacities on behalf of the Company shall be deemed to be the actions of the Company, and the Company shall be responsible for any breach of this </w:t>
      </w:r>
      <w:r>
        <w:rPr>
          <w:rFonts w:ascii="Times New Roman" w:hAnsi="Times New Roman"/>
          <w:color w:val="000000"/>
          <w:sz w:val="20"/>
          <w:u w:val="single"/>
        </w:rPr>
        <w:t>Section 5.3</w:t>
      </w:r>
      <w:r>
        <w:rPr>
          <w:rFonts w:ascii="Times New Roman" w:hAnsi="Times New Roman"/>
          <w:color w:val="000000"/>
          <w:sz w:val="20"/>
        </w:rPr>
        <w:t xml:space="preserve"> by its directors and Representatives acting in their authorized capacities on behalf of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5.4.          </w:t>
      </w:r>
      <w:r>
        <w:rPr>
          <w:rFonts w:ascii="Times New Roman" w:hAnsi="Times New Roman"/>
          <w:color w:val="000000"/>
          <w:sz w:val="20"/>
          <w:u w:val="single"/>
        </w:rPr>
        <w:t>Stockholders Meeting; Proxy Statement.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As promptly as reasonably practicable (and in any event within ten (10) Business Days) after the date of this Agreement, the Company shall prepare and file with the SEC a proxy statement in preliminary form related to the Company Stockholder Meeting (together with any amendments thereof or supplements thereto, the “</w:t>
      </w:r>
      <w:r>
        <w:rPr>
          <w:rFonts w:ascii="Times New Roman" w:hAnsi="Times New Roman"/>
          <w:color w:val="000000"/>
          <w:sz w:val="20"/>
          <w:u w:val="single"/>
        </w:rPr>
        <w:t>Proxy Statement</w:t>
      </w:r>
      <w:r>
        <w:rPr>
          <w:rFonts w:ascii="Times New Roman" w:hAnsi="Times New Roman"/>
          <w:color w:val="000000"/>
          <w:sz w:val="20"/>
        </w:rPr>
        <w:t xml:space="preserve">”). The Company shall give Parent and its Representatives a reasonable opportunity to review and comment on the initial preliminary Proxy Statement and all subsequent forms or versions of or amendments or supplements to the Proxy Statement prior to the filing thereof with the SEC or dissemination to the holders of Shares and the Company shall give reasonable and good faith consideration to any timely comments thereon made by Parent or its Representatives. Parent and Merger Sub shall promptly supply to the Company in writing, for inclusion in the Proxy Statement, all information concerning Parent and Merger Sub and their controlled Affiliates required under applicable Laws to be included in the Proxy Statement as is reasonably requested by the Company. The Company covenants and agrees that the Proxy Statement (i) at the time the Proxy Statement (including the preliminary Proxy Statement and all subsequent forms or versions of or amendments or supplements to the Proxy Statement) is filed with the SEC, (ii) at the time the Proxy Statement is first published, sent or disseminated to the holders of Shares, and (iii) at the time of the Company Stockholder Meeting, will (A) comply in all material respects with the Exchange Act and other applicable Laws and (B) not contain any untrue statement of a material fact or omit to state any material fact required to be stated therein or necessary in order to make the statements therein, in light of the circumstances under which they were made, not misleading; provided, however, that no covenant is made by the Company with respect to information supplied by or on behalf of Parent or Merger Sub specifically for inclusion or incorporation by reference in the Proxy Statement. The Company agrees to (i) respond promptly to any comments of the SEC or its staff, (ii) promptly correct any information included in the Proxy Statement or incorporated therein if and to the extent that such information shall have become false or misleading in any material respect, and (iii) take all steps necessary to cause the Proxy Statement as so corrected to be promptly filed with the SEC and to be disseminated to holders of Shares, in each case as and to the extent required by applicable Laws. The Company shall (x) promptly notify Parent of the receipt of, and promptly provide Parent copies of, all comments (including oral comments) from, and all correspondence with, the SEC or its staff with respect to the Proxy Statement and shall promptly notify Parent of any request by the SEC or its staff for any amendment or supplement thereto or for additional information, (y) provide Parent and its counsel with a reasonable opportunity to review and comment on any proposed correspondence between the Company or any of its Representatives, on the one hand, and the SEC or its staff, on the other hand, with respect to the Proxy Statement and shall give reasonable and good faith consideration to any timely comments thereon made by Parent or its Representatives and (z) promptly provide Parent with final copies of any correspondence sent by the Company or any of its Representatives to the SEC or its staff with respect to the Proxy Statement, and of any amendments or supplements to the Proxy Statement. The Proxy Statement shall include the Company Board Recommendation, unless the Board of Directors has made a Change of Board Recommendation that complies with </w:t>
      </w:r>
      <w:r>
        <w:rPr>
          <w:rFonts w:ascii="Times New Roman" w:hAnsi="Times New Roman"/>
          <w:color w:val="000000"/>
          <w:sz w:val="20"/>
          <w:u w:val="single"/>
        </w:rPr>
        <w:t>Section 5.3</w:t>
      </w:r>
      <w:r>
        <w:rPr>
          <w:rFonts w:ascii="Times New Roman" w:hAnsi="Times New Roman"/>
          <w:color w:val="000000"/>
          <w:sz w:val="20"/>
        </w:rPr>
        <w:t xml:space="preserve">. The Proxy Statement shall include (i) the fairness opinions of the Company’s financial advisors referenced in </w:t>
      </w:r>
      <w:r>
        <w:rPr>
          <w:rFonts w:ascii="Times New Roman" w:hAnsi="Times New Roman"/>
          <w:color w:val="000000"/>
          <w:sz w:val="20"/>
          <w:u w:val="single"/>
        </w:rPr>
        <w:t>Section 3.23</w:t>
      </w:r>
      <w:r>
        <w:rPr>
          <w:rFonts w:ascii="Times New Roman" w:hAnsi="Times New Roman"/>
          <w:color w:val="000000"/>
          <w:sz w:val="20"/>
        </w:rPr>
        <w:t>, (ii) the notice of the Company Stockholder Meeting and (iii) the notice and other information required by Section 262(d) of the DGCL.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shall establish a record date for, duly call, convene and hold a meeting of the holders of the Shares for the purpose of voting upon the adoption of this Agreement (together with any adjournments or postponements thereof, the “</w:t>
      </w:r>
      <w:r>
        <w:rPr>
          <w:rFonts w:ascii="Times New Roman" w:hAnsi="Times New Roman"/>
          <w:color w:val="000000"/>
          <w:sz w:val="20"/>
          <w:u w:val="single"/>
        </w:rPr>
        <w:t>Company Stockholder Meeting</w:t>
      </w:r>
      <w:r>
        <w:rPr>
          <w:rFonts w:ascii="Times New Roman" w:hAnsi="Times New Roman"/>
          <w:color w:val="000000"/>
          <w:sz w:val="20"/>
        </w:rPr>
        <w:t xml:space="preserve">”) as promptly as reasonably practicable after the SEC Clearance Date (and shall initially schedule the Company Stockholder Meeting to be held within twenty (20) Business Days from the date of the first mailing of the Proxy Statement, or if the Company’s nationally recognized proxy solicitor advises the Company in writing that twenty (20) Business Days from the date of the mailing of the Proxy Statement is insufficient time to obtain the Company Stockholder Approval, such later date to which Parent consents in writing (such consent not to be unreasonably withheld, conditioned or delayed)), and any adjournments or postponements of such meeting shall require the prior written consent of Parent (not to be unreasonably withheld, conditioned or delayed). Within five (5) Business Days after the date of this Agreement (and thereafter, upon the reasonable request of Parent), the Company shall conduct “broker searches” in accordance with Rule 14a-13 of the Exchange Act in a manner to enable the Company Stockholder Meeting to be held by such date. Notwithstanding the foregoing, (i) the Company may, without the prior written consent of Parent, adjourn or postpone the Company Stockholder Meeting up to one (1) time (A) for the absence of a quorum or to solicit additional votes in favor of the Merger or (B) to allow reasonable additional time for the filing and/or mailing, and review by the holders of the Shares prior to the date of the Company Stockholder Meeting, of any supplemental or amended disclosure that the Board of Directors determines in good faith is required by applicable Laws or the rules and regulations of Nasdaq (for a period of not more than five (5) Business Days but in any event not past four (4) Business Days prior to the Outside Date), unless prior to such adjournment or postponement, the Company shall have received an aggregate number of proxies voting for the adoption of this Agreement, which have not been withdrawn, such that the condition in </w:t>
      </w:r>
      <w:r>
        <w:rPr>
          <w:rFonts w:ascii="Times New Roman" w:hAnsi="Times New Roman"/>
          <w:color w:val="000000"/>
          <w:sz w:val="20"/>
          <w:u w:val="single"/>
        </w:rPr>
        <w:t>Section 6.1(a)</w:t>
      </w:r>
      <w:r>
        <w:rPr>
          <w:rFonts w:ascii="Times New Roman" w:hAnsi="Times New Roman"/>
          <w:color w:val="000000"/>
          <w:sz w:val="20"/>
        </w:rPr>
        <w:t xml:space="preserve"> would be satisfied at such meeting if it were to be held without such postponement or adjournment and (ii) Parent may require the Company to, adjourn or postpone the Company Stockholder Meeting up to two (2) times, in the aggregate, to a date specified by Parent under the circumstances described in </w:t>
      </w:r>
      <w:r>
        <w:rPr>
          <w:rFonts w:ascii="Times New Roman" w:hAnsi="Times New Roman"/>
          <w:color w:val="000000"/>
          <w:sz w:val="20"/>
          <w:u w:val="single"/>
        </w:rPr>
        <w:t>clauses</w:t>
      </w:r>
      <w:r>
        <w:rPr>
          <w:rFonts w:ascii="Times New Roman" w:hAnsi="Times New Roman"/>
          <w:color w:val="000000"/>
          <w:sz w:val="20"/>
        </w:rPr>
        <w:t> </w:t>
      </w:r>
      <w:r>
        <w:rPr>
          <w:rFonts w:ascii="Times New Roman" w:hAnsi="Times New Roman"/>
          <w:color w:val="000000"/>
          <w:sz w:val="20"/>
          <w:u w:val="single"/>
        </w:rPr>
        <w:t>(i)(A)</w:t>
      </w:r>
      <w:r>
        <w:rPr>
          <w:rFonts w:ascii="Times New Roman" w:hAnsi="Times New Roman"/>
          <w:color w:val="000000"/>
          <w:sz w:val="20"/>
        </w:rPr>
        <w:t xml:space="preserve"> or </w:t>
      </w:r>
      <w:r>
        <w:rPr>
          <w:rFonts w:ascii="Times New Roman" w:hAnsi="Times New Roman"/>
          <w:color w:val="000000"/>
          <w:sz w:val="20"/>
          <w:u w:val="single"/>
        </w:rPr>
        <w:t>(i)(B)</w:t>
      </w:r>
      <w:r>
        <w:rPr>
          <w:rFonts w:ascii="Times New Roman" w:hAnsi="Times New Roman"/>
          <w:color w:val="000000"/>
          <w:sz w:val="20"/>
        </w:rPr>
        <w:t xml:space="preserve"> of this sentence;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event shall the Company Stockholder Meeting be so postponed or adjourned at the request of Parent for more than ten (10) Business Days , or to a date that is less than four (4) Business Days prior to the Outside Date, without the prior written consent of the Company (which consent shall not be unreasonably withheld, conditioned or delayed). In connection with the foregoing, the Company shall (i) file the definitive Proxy Statement with the SEC and cause the definitive Proxy Statement to be mailed to the Company’s stockholders as of the record date established for the Company Stockholder Meeting as promptly as practicable (and in any event within one (1) Business Day) after the date on which the SEC confirms that it has no further comments on the Proxy Statement (the “</w:t>
      </w:r>
      <w:r>
        <w:rPr>
          <w:rFonts w:ascii="Times New Roman" w:hAnsi="Times New Roman"/>
          <w:color w:val="000000"/>
          <w:sz w:val="20"/>
          <w:u w:val="single"/>
        </w:rPr>
        <w:t>SEC Clearance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if the SEC has failed to affirmatively notify the Company within ten (10) days (inclusive) of the initial filing of the Proxy Statement with the SEC that it will or will not be reviewing the Proxy Statement, then such date shall be the “SEC Clearance Date”. Once the Company has established a record date for the Company Stockholder Meeting, the Company shall not change such record date or establish a different record date for the Company Stockholder Meeting without the prior written consent of Parent (such consent not to be unreasonably withheld, conditioned or delayed), unless required to do so by applicable Laws. Unless the Board of Directors shall have made a Change of Board Recommendation in compliance with </w:t>
      </w:r>
      <w:r>
        <w:rPr>
          <w:rFonts w:ascii="Times New Roman" w:hAnsi="Times New Roman"/>
          <w:color w:val="000000"/>
          <w:sz w:val="20"/>
          <w:u w:val="single"/>
        </w:rPr>
        <w:t>Section 5.3</w:t>
      </w:r>
      <w:r>
        <w:rPr>
          <w:rFonts w:ascii="Times New Roman" w:hAnsi="Times New Roman"/>
          <w:color w:val="000000"/>
          <w:sz w:val="20"/>
        </w:rPr>
        <w:t xml:space="preserve">, the Company shall use reasonable best efforts to obtain the Company Stockholder Approval, including to solicit proxies in favor of the adoption of this Agreement. Unless this Agreement is validly terminated in accordance with </w:t>
      </w:r>
      <w:r>
        <w:rPr>
          <w:rFonts w:ascii="Times New Roman" w:hAnsi="Times New Roman"/>
          <w:color w:val="000000"/>
          <w:sz w:val="20"/>
          <w:u w:val="single"/>
        </w:rPr>
        <w:t>Section 7.1</w:t>
      </w:r>
      <w:r>
        <w:rPr>
          <w:rFonts w:ascii="Times New Roman" w:hAnsi="Times New Roman"/>
          <w:color w:val="000000"/>
          <w:sz w:val="20"/>
        </w:rPr>
        <w:t>, the Company shall submit this Agreement to the holders of Shares at the Company Stockholder Meeting even if the Board of Directors shall have made a Change of Board Recommendation or proposed or announced any intention to do so. The Company shall advise Parent on each of the last ten (10) Business Days prior to the date of the Company Stockholder Meeting as to the aggregate tally of proxies received by the Company with respect to the Company Stockholder Approval (email being sufficient). Without the prior written consent of Parent, matters related to the adoption of this Agreement, a non-binding advisory compensation vote and adjournment of the Company Stockholder Meeting shall be the only matters that the Company shall propose to be acted on by the holders of Shares at the Company Stockholder Meeting.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5.5.          </w:t>
      </w:r>
      <w:r>
        <w:rPr>
          <w:rFonts w:ascii="Times New Roman" w:hAnsi="Times New Roman"/>
          <w:color w:val="000000"/>
          <w:sz w:val="20"/>
          <w:u w:val="single"/>
        </w:rPr>
        <w:t>Employment and Employee Benefits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For twelve (12) months following the Closing Date (or, if earlier, until the date of the termination of employment of a Current Employee, as defined below) (the “</w:t>
      </w:r>
      <w:r>
        <w:rPr>
          <w:rFonts w:ascii="Times New Roman" w:hAnsi="Times New Roman"/>
          <w:color w:val="000000"/>
          <w:sz w:val="20"/>
          <w:u w:val="single"/>
        </w:rPr>
        <w:t>Continuation Period</w:t>
      </w:r>
      <w:r>
        <w:rPr>
          <w:rFonts w:ascii="Times New Roman" w:hAnsi="Times New Roman"/>
          <w:color w:val="000000"/>
          <w:sz w:val="20"/>
        </w:rPr>
        <w:t>”), Parent shall, or shall cause the Surviving Corporation to provide each individual employed by the Company or its Subsidiaries immediately prior to the Effective Time who continues to remain employed following the Effective Time (each, a “</w:t>
      </w:r>
      <w:r>
        <w:rPr>
          <w:rFonts w:ascii="Times New Roman" w:hAnsi="Times New Roman"/>
          <w:color w:val="000000"/>
          <w:sz w:val="20"/>
          <w:u w:val="single"/>
        </w:rPr>
        <w:t>Current Employee</w:t>
      </w:r>
      <w:r>
        <w:rPr>
          <w:rFonts w:ascii="Times New Roman" w:hAnsi="Times New Roman"/>
          <w:color w:val="000000"/>
          <w:sz w:val="20"/>
        </w:rPr>
        <w:t>”), (i) base salary or wage rate, as applicable, and a target annual cash incentive compensation opportunity that is, in the aggregate, at least as favorable as the base salary or wage rate, as applicable, and target annual cash incentive opportunity, provided to the Current Employee as of immediately prior to the Effective Time, (ii) broad-based employee benefits (excluding long-term cash incentive opportunities, severance, equity and equity-based awards, retention, transaction, change in control-related payments or benefits, nonqualified deferred compensation, defined benefit plan and post-employment or retiree welfare benefits (collectively, the “</w:t>
      </w:r>
      <w:r>
        <w:rPr>
          <w:rFonts w:ascii="Times New Roman" w:hAnsi="Times New Roman"/>
          <w:color w:val="000000"/>
          <w:sz w:val="20"/>
          <w:u w:val="single"/>
        </w:rPr>
        <w:t>Excluded Benefits</w:t>
      </w:r>
      <w:r>
        <w:rPr>
          <w:rFonts w:ascii="Times New Roman" w:hAnsi="Times New Roman"/>
          <w:color w:val="000000"/>
          <w:sz w:val="20"/>
        </w:rPr>
        <w:t xml:space="preserve">”)) that are substantially comparable in the aggregate to those broad-based employee benefits (other than Excluded Benefits) provided to the Current Employees under the Company Plans that are disclosed in </w:t>
      </w:r>
      <w:r>
        <w:rPr>
          <w:rFonts w:ascii="Times New Roman" w:hAnsi="Times New Roman"/>
          <w:color w:val="000000"/>
          <w:sz w:val="20"/>
          <w:u w:val="single"/>
        </w:rPr>
        <w:t>Section 3.16(a)</w:t>
      </w:r>
      <w:r>
        <w:rPr>
          <w:rFonts w:ascii="Times New Roman" w:hAnsi="Times New Roman"/>
          <w:color w:val="000000"/>
          <w:sz w:val="20"/>
        </w:rPr>
        <w:t xml:space="preserve"> of the Company Disclosure Letter and in effect as of immediately prior to the Effective Time, or, to the extent a Current Employee becomes covered by an employee benefit plan or program of Parent (or one of its Affiliates other than the Company) during such period, employee benefits (other than the Excluded Benefits) consistent with those provided to similarly situated employees of Parent (or its relevant Affiliate) (subject to the terms and conditions set forth in this </w:t>
      </w:r>
      <w:r>
        <w:rPr>
          <w:rFonts w:ascii="Times New Roman" w:hAnsi="Times New Roman"/>
          <w:color w:val="000000"/>
          <w:sz w:val="20"/>
          <w:u w:val="single"/>
        </w:rPr>
        <w:t>Section 5.5</w:t>
      </w:r>
      <w:r>
        <w:rPr>
          <w:rFonts w:ascii="Times New Roman" w:hAnsi="Times New Roman"/>
          <w:color w:val="000000"/>
          <w:sz w:val="20"/>
        </w:rPr>
        <w:t xml:space="preserve">), and (iii) severance benefits that are no less favorable than the severance protections and benefits provided to the Current Employee immediately prior to the Effective Time and set forth on </w:t>
      </w:r>
      <w:r>
        <w:rPr>
          <w:rFonts w:ascii="Times New Roman" w:hAnsi="Times New Roman"/>
          <w:color w:val="000000"/>
          <w:sz w:val="20"/>
          <w:u w:val="single"/>
        </w:rPr>
        <w:t>Section 5.5(a)</w:t>
      </w:r>
      <w:r>
        <w:rPr>
          <w:rFonts w:ascii="Times New Roman" w:hAnsi="Times New Roman"/>
          <w:color w:val="000000"/>
          <w:sz w:val="20"/>
        </w:rPr>
        <w:t>)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Parent shall use commercially reasonable efforts to, and shall use commercially reasonable efforts to cause the Surviving Corporation to, cause service rendered by each Current Employee to the Company or its Subsidiaries prior to the Effective Time to be taken into account with respect to only the employee benefit plans of Parent and the Surviving Corporation which provide benefits for vacation, or paid time-off (and for the avoidance of doubt, not for any purpose under any Excluded Benefit), for purposes of determining eligibility to participate, level of benefits and vesting, to the same extent and for the same purpose as such service was taken into account under the corresponding Company Plans immediately prior to the Effective Time for those purposes; </w:t>
      </w:r>
      <w:r>
        <w:rPr>
          <w:rFonts w:ascii="Times New Roman" w:hAnsi="Times New Roman"/>
          <w:color w:val="000000"/>
          <w:sz w:val="20"/>
          <w:u w:val="single"/>
        </w:rPr>
        <w:t>provided</w:t>
      </w:r>
      <w:r>
        <w:rPr>
          <w:rFonts w:ascii="Times New Roman" w:hAnsi="Times New Roman"/>
          <w:color w:val="000000"/>
          <w:sz w:val="20"/>
        </w:rPr>
        <w:t xml:space="preserve"> that the foregoing will not apply to (i) the extent that its application would result in a duplication of benefits or compensation with respect to the same period of service, (ii) any benefit plan that is a frozen plan or that provides benefits to a grandfathered employee population or (iii) to the extent such service would not be credited to similarly situated employees of Parent or its Affiliates.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If requested by Parent at least five (5) Business Days prior to the Effective Time, the Company shall, at least one (1) Business Day prior to the Effective Time, (i) adopt written resolutions (or take other necessary and appropriate actions) to terminate, or terminate participation in, each Company Plan intended to be qualified under Section 401(a) of the Code (the “</w:t>
      </w:r>
      <w:r>
        <w:rPr>
          <w:rFonts w:ascii="Times New Roman" w:hAnsi="Times New Roman"/>
          <w:color w:val="000000"/>
          <w:sz w:val="20"/>
          <w:u w:val="single"/>
        </w:rPr>
        <w:t>401(k) Plan</w:t>
      </w:r>
      <w:r>
        <w:rPr>
          <w:rFonts w:ascii="Times New Roman" w:hAnsi="Times New Roman"/>
          <w:color w:val="000000"/>
          <w:sz w:val="20"/>
        </w:rPr>
        <w:t>”), (ii) cease all contributions to the 401(k) Plan for any compensation paid after such termination date, and (iii) one hundred percent (100%) vest all participants under the 401(k) Plan, with such termination, cessation and vesting to be effective no later than the Business Day preceding the Effective Time. The Company shall provide Parent with an advance copy of such proposed resolutions no later than five (5) Business Days prior the date the resolutions are to be approved and shall incorporate any and all reasonable comments made by Parent to such resolutions. In the event Parent requests that the Company terminate the 401(k) Plan in accordance with this section, then as soon as administratively practicable following the Closing Date, Parent shall permit each Current Employee performing services in the U.S. to participate in a tax-qualified defined contribution plan sponsored by Parent or one of its Subsidiaries (the “</w:t>
      </w:r>
      <w:r>
        <w:rPr>
          <w:rFonts w:ascii="Times New Roman" w:hAnsi="Times New Roman"/>
          <w:color w:val="000000"/>
          <w:sz w:val="20"/>
          <w:u w:val="single"/>
        </w:rPr>
        <w:t>Parent 401(k) Plan</w:t>
      </w:r>
      <w:r>
        <w:rPr>
          <w:rFonts w:ascii="Times New Roman" w:hAnsi="Times New Roman"/>
          <w:color w:val="000000"/>
          <w:sz w:val="20"/>
        </w:rPr>
        <w:t>”) and shall cause the Parent 401(k) Plan to accept direct rollover distributions from the 401(k) Plan on behalf of Current Employees, including participant loans.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Prior to making any written or broad-based oral communications to any current or former officer, director, employee, or individual independent contractor of the Company or its Subsidiaries pertaining to compensation or benefit matters described in this Agreement or to compensation, benefits, or terms of employment or service that will be provided by Parent or an Affiliate thereof following the Closing, the Company shall provide Parent with a copy of the intended communication, Parent shall have a reasonable period of time to review and comment on the communication, and the Company shall consider any such comments in good faith (it being understood that after Parent has been so provided with such opportunity, the Company shall not be required to provide Parent with any other communication if the content thereof is substantially the same as that previously reviewed by Parent).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Without limiting the generality of </w:t>
      </w:r>
      <w:r>
        <w:rPr>
          <w:rFonts w:ascii="Times New Roman" w:hAnsi="Times New Roman"/>
          <w:color w:val="000000"/>
          <w:sz w:val="20"/>
          <w:u w:val="single"/>
        </w:rPr>
        <w:t>Section 5.4</w:t>
      </w:r>
      <w:r>
        <w:rPr>
          <w:rFonts w:ascii="Times New Roman" w:hAnsi="Times New Roman"/>
          <w:color w:val="000000"/>
          <w:sz w:val="20"/>
        </w:rPr>
        <w:t xml:space="preserve">, no provision of this Agreement (i) prohibits Parent, Merger Sub or the Surviving Corporation from amending, modifying or terminating any Company Plan or any other benefit or compensation plan, program, contract, agreement, policy or arrangement, (ii) requires Parent, Merger Sub or the Surviving Corporation to keep any Person employed or otherwise providing services for any period of time, or (iii) constitutes or shall be construed to constitute the establishment or adoption of, or amendment to, any Company Plan or other benefit or compensation plan, program, contract, agreement, policy or arrangement. This </w:t>
      </w:r>
      <w:r>
        <w:rPr>
          <w:rFonts w:ascii="Times New Roman" w:hAnsi="Times New Roman"/>
          <w:color w:val="000000"/>
          <w:sz w:val="20"/>
          <w:u w:val="single"/>
        </w:rPr>
        <w:t>Section 5.4</w:t>
      </w:r>
      <w:r>
        <w:rPr>
          <w:rFonts w:ascii="Times New Roman" w:hAnsi="Times New Roman"/>
          <w:color w:val="000000"/>
          <w:sz w:val="20"/>
        </w:rPr>
        <w:t xml:space="preserve"> shall not confer upon any Current Employee or any other Person (including any beneficiary or dependent thereof) not a party to this Agreement any third-party beneficiary or similar rights or remedies.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5.6.         </w:t>
      </w:r>
      <w:r>
        <w:rPr>
          <w:rFonts w:ascii="Times New Roman" w:hAnsi="Times New Roman"/>
          <w:color w:val="000000"/>
          <w:sz w:val="20"/>
          <w:u w:val="single"/>
        </w:rPr>
        <w:t>Directors’ and Officers’ Indemnification and Insurance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Parent agrees that all rights to indemnification, advancement of expenses and exculpation from liability for acts or omissions occurring on or prior to the Closing Date now existing in favor of any of the current or former directors or officers of the Company (each an “</w:t>
      </w:r>
      <w:r>
        <w:rPr>
          <w:rFonts w:ascii="Times New Roman" w:hAnsi="Times New Roman"/>
          <w:color w:val="000000"/>
          <w:sz w:val="20"/>
          <w:u w:val="single"/>
        </w:rPr>
        <w:t>Indemnified Party</w:t>
      </w:r>
      <w:r>
        <w:rPr>
          <w:rFonts w:ascii="Times New Roman" w:hAnsi="Times New Roman"/>
          <w:color w:val="000000"/>
          <w:sz w:val="20"/>
        </w:rPr>
        <w:t>” and collectively the “</w:t>
      </w:r>
      <w:r>
        <w:rPr>
          <w:rFonts w:ascii="Times New Roman" w:hAnsi="Times New Roman"/>
          <w:color w:val="000000"/>
          <w:sz w:val="20"/>
          <w:u w:val="single"/>
        </w:rPr>
        <w:t>Indemnified Parties</w:t>
      </w:r>
      <w:r>
        <w:rPr>
          <w:rFonts w:ascii="Times New Roman" w:hAnsi="Times New Roman"/>
          <w:color w:val="000000"/>
          <w:sz w:val="20"/>
        </w:rPr>
        <w:t xml:space="preserve">”), as provided in the respective Company Organizational Documents or in indemnification agreements set forth on </w:t>
      </w:r>
      <w:r>
        <w:rPr>
          <w:rFonts w:ascii="Times New Roman" w:hAnsi="Times New Roman"/>
          <w:color w:val="000000"/>
          <w:sz w:val="20"/>
          <w:u w:val="single"/>
        </w:rPr>
        <w:t>Section 5.6(a)</w:t>
      </w:r>
      <w:r>
        <w:rPr>
          <w:rFonts w:ascii="Times New Roman" w:hAnsi="Times New Roman"/>
          <w:color w:val="000000"/>
          <w:sz w:val="20"/>
        </w:rPr>
        <w:t xml:space="preserve"> of the Company Disclosure Letter, to the extent made available to Parent and as in effect as of the date of this Agreement, shall survive the Effective Time and shall continue in full force and effect in accordance with their respective terms (and shall not be amended, repealed or modified in a manner less advantageous to the Indemnified Parties) for a period of not less than six (6) years after the Closing Date, and in the event that any Action is pending or asserted or any claim made during such period, until the disposition of any such Action or claim. To the extent any amendment, modification, or repeal to the indemnification, advancement and/or exculpation provisions contained in the Company’s Certificate of Incorporation or Bylaws is required by applicable Law, Parent shall, and shall cause the Surviving Corporation to, make such changes to such documents as to have the least adverse effect on the rights of the individuals referenced in this </w:t>
      </w:r>
      <w:r>
        <w:rPr>
          <w:rFonts w:ascii="Times New Roman" w:hAnsi="Times New Roman"/>
          <w:color w:val="000000"/>
          <w:sz w:val="20"/>
          <w:u w:val="single"/>
        </w:rPr>
        <w:t>Section 5.6</w:t>
      </w:r>
      <w:r>
        <w:rPr>
          <w:rFonts w:ascii="Times New Roman" w:hAnsi="Times New Roman"/>
          <w:color w:val="000000"/>
          <w:sz w:val="20"/>
        </w:rPr>
        <w:t xml:space="preserve"> that is permitted in accordance with such Law. From and after the Effective Time, Parent shall cause the Surviving Corporation and its subsidiaries to comply with and honor the foregoing obligations.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Notwithstanding anything to the contrary in this Agreement, at or prior to the Effective Time, following good faith consultation with Parent and, if requested by Parent, utilizing Parent’s insurance broker, the Company shall purchase a tail policy under the current directors’ and officers’ liability insurance policy maintained at such time by the Company with the Company’s current insurance carrier or with an insurance carrier with the same or better credit rating s the Company’s current directors’ and officers’ liability insurance carrier, which tail policy (i) will be effective for a period from the Effective Time through and including the date six (6) years after the Effective Time with respect to claims arising from facts or events that existed or occurred prior to or at the Effective Time and (ii) will contain coverage that is as protective of such directors and officers as the coverage provided by such existing policy; provided that the aggregate premium for such tail policy may not be in excess of three hundred percent (300%) of the last annual premium paid with respect to the Company’s existing policy prior to the Effective Time (the “</w:t>
      </w:r>
      <w:r>
        <w:rPr>
          <w:rFonts w:ascii="Times New Roman" w:hAnsi="Times New Roman"/>
          <w:color w:val="000000"/>
          <w:sz w:val="20"/>
          <w:u w:val="single"/>
        </w:rPr>
        <w:t>Maximum Amount</w:t>
      </w:r>
      <w:r>
        <w:rPr>
          <w:rFonts w:ascii="Times New Roman" w:hAnsi="Times New Roman"/>
          <w:color w:val="000000"/>
          <w:sz w:val="20"/>
        </w:rPr>
        <w:t>”); provided, further, that if the aggregate premium of such insurance coverage exceeds such amount, the Company shall obtain the maximum amount of coverage available for the Maximum Amount. Parent shall cause such policy to be maintained in full force and effect for its full term and cause all obligations thereunder to be honored by the Surviving Corporation. In the event of an expiration, termination or cancellation of the tail policy, Parent shall be required to obtain a replacement tail policy substantially equivalent to such expired, terminated or canceled policy, subject to the Maximum Amount.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The covenants contained in this </w:t>
      </w:r>
      <w:r>
        <w:rPr>
          <w:rFonts w:ascii="Times New Roman" w:hAnsi="Times New Roman"/>
          <w:color w:val="000000"/>
          <w:sz w:val="20"/>
          <w:u w:val="single"/>
        </w:rPr>
        <w:t>Section 5.6</w:t>
      </w:r>
      <w:r>
        <w:rPr>
          <w:rFonts w:ascii="Times New Roman" w:hAnsi="Times New Roman"/>
          <w:color w:val="000000"/>
          <w:sz w:val="20"/>
        </w:rPr>
        <w:t xml:space="preserve"> shall survive the Closing and are intended to be for the benefit of, and shall be enforceable by, each of the Indemnified Parties and their respective successors, heirs, assigns and legal representatives (each of whom shall be third party beneficiaries hereunder) and shall not be deemed exclusive of any other rights to which a Indemnified Party is entitled, whether pursuant to Law, Contract or otherwise. In the event that the Surviving Corporation or its successors or assigns (i) consolidates with or merges into any other Person and shall not be the continuing or surviving corporation or entity of such consolidation or merger or (ii) liquidates, dissolves, winds up, transfers or conveys all or substantially all of its properties and assets to any Person, then, and in each such case, Parent shall take all necessary action so that the successors or assigns of the Surviving Corporation shall succeed to the obligations set forth in this </w:t>
      </w:r>
      <w:r>
        <w:rPr>
          <w:rFonts w:ascii="Times New Roman" w:hAnsi="Times New Roman"/>
          <w:color w:val="000000"/>
          <w:sz w:val="20"/>
          <w:u w:val="single"/>
        </w:rPr>
        <w:t>Section 5.6.</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Unless required by applicable Law, this </w:t>
      </w:r>
      <w:r>
        <w:rPr>
          <w:rFonts w:ascii="Times New Roman" w:hAnsi="Times New Roman"/>
          <w:color w:val="000000"/>
          <w:sz w:val="20"/>
          <w:u w:val="single"/>
        </w:rPr>
        <w:t>Section 5.6</w:t>
      </w:r>
      <w:r>
        <w:rPr>
          <w:rFonts w:ascii="Times New Roman" w:hAnsi="Times New Roman"/>
          <w:color w:val="000000"/>
          <w:sz w:val="20"/>
        </w:rPr>
        <w:t xml:space="preserve"> may not be amended, altered or repealed after the Closing in such a manner as to adversely affect the rights of any Indemnified Parties or any of their successors, assigns or heirs without the prior written consent of the affected Indemnified Parties.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5.7.         </w:t>
      </w:r>
      <w:r>
        <w:rPr>
          <w:rFonts w:ascii="Times New Roman" w:hAnsi="Times New Roman"/>
          <w:color w:val="000000"/>
          <w:sz w:val="20"/>
          <w:u w:val="single"/>
        </w:rPr>
        <w:t>Further Action; Efforts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Each of Parent and the Company shall (i) use its reasonable best efforts to promptly make all filings and promptly obtain all authorizations, consents, orders, clearances and approvals of all Governmental Bodies and officials that may be or become necessary or advisable for its execution and delivery of, and the performance of its obligations pursuant to, this Agreement, and the consummation of the transactions contemplated by this Agreement, including the Merger, (ii) cooperate fully with the other party in promptly seeking to obtain all such authorizations, consents, orders, clearances and approvals and in seeking early termination of any applicable waiting periods under applicable Antitrust and FDI Laws and (iii) provide as promptly as practicable such information to any Governmental Body as such Governmental Body may request in connection herewith. In furtherance of the foregoing, each of Parent and the Company, as applicable, agrees to file promptly the filings and notifications required under any Antitrust and FDI Laws applicable to the transactions contemplated by this Agreement including, no later than the tenth (10th) Business Day after the date of this Agreement, making or causing to be made all filings and submissions and all draft filings and submissions required to be made by Parent, the Company or any of their Affiliates under the HSR Act and any other Antitrust and FDI Laws applicable to the transactions contemplated by this Agreement. None of Company, on the one hand, or Parent or Merger Sub, on the other hand, may, without the consent of the other (such consent not to be unreasonably withheld, conditioned or delayed), (x) cause any such filing or submission applicable to it to be withdrawn or refiled for any reason, including to provide the applicable Governmental Body with additional time to review any of the transactions contemplated by this Agreement or (y) consent to any voluntary extension of any statutory deadline or waiting period or to any voluntary delay of the consummation of the transactions contemplated by this Agreement; provided that, notwithstanding the foregoing, Parent may, without the consent of the Company, voluntarily withdraw its notification under the HSR Act on one (1) occasion so long as Parent refiles its HSR Act notification within two (2) Business Days after withdrawal unless otherwise agreed by the Company. Parent shall pay all filing fees required to be paid to a Governmental Body in connection with the filings and notification required under Antitrust and FDI Laws applicable to the transactions contemplated by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Notwithstanding the foregoing provisions of this </w:t>
      </w:r>
      <w:r>
        <w:rPr>
          <w:rFonts w:ascii="Times New Roman" w:hAnsi="Times New Roman"/>
          <w:color w:val="000000"/>
          <w:sz w:val="20"/>
          <w:u w:val="single"/>
        </w:rPr>
        <w:t>Section 5.7</w:t>
      </w:r>
      <w:r>
        <w:rPr>
          <w:rFonts w:ascii="Times New Roman" w:hAnsi="Times New Roman"/>
          <w:color w:val="000000"/>
          <w:sz w:val="20"/>
        </w:rPr>
        <w:t xml:space="preserve"> or anything in this Agreement to the contrary, (i) neither Parent nor any of its Affiliates shall be obligated to: (A) undertake or enter into agreements or agree to the entry of an order or decree with any Governmental Body, (B) commit to sell, license or dispose of, or hold separate or agree to sell, license or otherwise dispose of, assets, categories of assets or businesses of Parent, the Company, the Surviving Corporation or any other Subsidiary of Parent or the Company, (C) commit to terminate, amend or replace any existing relationships and contractual rights and obligations of Parent, the Company, the Surviving Corporation or any other Subsidiary of Parent or the Company, (D) terminate any relevant venture or other arrangement of Parent, the Company, the Surviving Corporation or any other Subsidiary of Parent or the Company, (E) enter into any behavioral limitations, conduct restrictions or other commitments with respect to any assets or business of Parent, the Company, the Surviving Corporation or any other Subsidiary of Parent or the Company, (F) defend through litigation any claim or determination (whether judicial or administrative in nature) by any Governmental Body or third party that would restrain, prevent, or delay, the consummation of the transactions contemplated by this Agreement or (G) effectuate any other change or restructuring of Parent, the Company, the Surviving Corporation or any other Subsidiary of Parent or the Company and (ii) the Company shall not take the actions specified in clauses (A)-(E) and (G) of this </w:t>
      </w:r>
      <w:r>
        <w:rPr>
          <w:rFonts w:ascii="Times New Roman" w:hAnsi="Times New Roman"/>
          <w:color w:val="000000"/>
          <w:sz w:val="20"/>
          <w:u w:val="single"/>
        </w:rPr>
        <w:t>Section 5.7(b)</w:t>
      </w:r>
      <w:r>
        <w:rPr>
          <w:rFonts w:ascii="Times New Roman" w:hAnsi="Times New Roman"/>
          <w:color w:val="000000"/>
          <w:sz w:val="20"/>
        </w:rPr>
        <w:t xml:space="preserve"> without Parent’s prior written consent in connection with obtaining any authorization, consent, order, clearance or approval of a Governmental Body or official that may be or become necessary or advisable in connection with the consummation of the transactions contemplated by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Each of Parent, on the one hand, and the Company, on the other hand, will promptly inform the other of, and provide copies of, any substantive communication (including material details of oral communications) received by that party in respect of the authorizations, consents, orders, clearances and approvals of all Governmental Bodies and officials that may be or become necessary or advisable for the performance of each party’s obligations pursuant to this Agreement and use reasonable best efforts to respond promptly to any request or notice from any Governmental Body requiring the parties, or any one of them, to supply additional information that is relevant to the review of the transactions contemplated by this Agreement in respect of obtaining or concluding such authorizations, consents, orders, clearances and approvals. Each party shall (A) permit the other parties to review in advance any proposed substantive submissions to Governmental Bodies (including responses to requests for information and inquiries from any Governmental Body) in respect of obtaining or concluding the authorizations, consents, orders, clearances and approvals of all Governmental Bodies and officials that may be or become necessary or advisable for the performance of its obligations pursuant to this Agreement, (B) promptly provide the other parties with any copies of substantive communications and submissions (including responses to requests for information and inquiries from any Governmental Body) that were submitted to a Governmental Body in respect of obtaining or concluding such authorizations, consents, orders, clearances and approvals, (C) whenever possible, not participate in any substantive meeting or discussion (whether in person, by telephone or otherwise) with a Governmental Body in respect of obtaining or concluding such authorizations, consents, orders, clearances and approvals unless it consults with the other parties in advance and gives the other parties or their legal counsel the opportunity to attend and participate thereat, unless a Governmental Body requests otherwise, and (D) keep the other parties promptly informed of the making or commencement of any request, inquiry, investigation or proceeding brought by a Governmental Body or brought by a third party before any Governmental Body, in each case, with respect to the transactions contemplated hereby, and the status of discussions relating to obtaining or concluding such authorizations, consents, orders, clearances and approvals. Notwithstanding any other requirement in this </w:t>
      </w:r>
      <w:r>
        <w:rPr>
          <w:rFonts w:ascii="Times New Roman" w:hAnsi="Times New Roman"/>
          <w:color w:val="000000"/>
          <w:sz w:val="20"/>
          <w:u w:val="single"/>
        </w:rPr>
        <w:t>Section 5.7</w:t>
      </w:r>
      <w:r>
        <w:rPr>
          <w:rFonts w:ascii="Times New Roman" w:hAnsi="Times New Roman"/>
          <w:color w:val="000000"/>
          <w:sz w:val="20"/>
        </w:rPr>
        <w:t>, such materials and information to be disclosed by the Company, on the one hand, and Parent, on the other hand, to each other party pursuant to this </w:t>
      </w:r>
      <w:r>
        <w:rPr>
          <w:rFonts w:ascii="Times New Roman" w:hAnsi="Times New Roman"/>
          <w:color w:val="000000"/>
          <w:sz w:val="20"/>
          <w:u w:val="single"/>
        </w:rPr>
        <w:t>Section 5.7</w:t>
      </w:r>
      <w:r>
        <w:rPr>
          <w:rFonts w:ascii="Times New Roman" w:hAnsi="Times New Roman"/>
          <w:color w:val="000000"/>
          <w:sz w:val="20"/>
        </w:rPr>
        <w:t xml:space="preserve">, may be redacted as reasonably necessary to comply with applicable legal requirements (including to preserve legal privilege) and may be restricted to the other party’s outside antitrust counsel to the extent such materials and information are commercially or competitively sensitive, </w:t>
      </w:r>
      <w:r>
        <w:rPr>
          <w:rFonts w:ascii="Times New Roman" w:hAnsi="Times New Roman"/>
          <w:i/>
          <w:color w:val="000000"/>
          <w:sz w:val="20"/>
        </w:rPr>
        <w:t>provided</w:t>
      </w:r>
      <w:r>
        <w:rPr>
          <w:rFonts w:ascii="Times New Roman" w:hAnsi="Times New Roman"/>
          <w:color w:val="000000"/>
          <w:sz w:val="20"/>
        </w:rPr>
        <w:t>, that in the event that any such materials are not provided, the parties shall use commercially reasonable efforts to provide for alternative arrangements for such disclosure.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Notwithstanding the foregoing or anything in this Agreement to the contrary, but without limiting the obligations set forth in this </w:t>
      </w:r>
      <w:r>
        <w:rPr>
          <w:rFonts w:ascii="Times New Roman" w:hAnsi="Times New Roman"/>
          <w:color w:val="000000"/>
          <w:sz w:val="20"/>
          <w:u w:val="single"/>
        </w:rPr>
        <w:t>Section 5.7</w:t>
      </w:r>
      <w:r>
        <w:rPr>
          <w:rFonts w:ascii="Times New Roman" w:hAnsi="Times New Roman"/>
          <w:color w:val="000000"/>
          <w:sz w:val="20"/>
        </w:rPr>
        <w:t xml:space="preserve">, Parent will, on behalf of the parties, determine and control strategy for dealing with any Governmental Body in respect of obtaining or concluding the authorizations, consents, orders, clearances and approvals of all Governmental Body and officials that may be or become necessary or advisable for the performance of each party’s obligations pursuant to, this Agreement, and the Company will use its reasonable best efforts to act consistently with such strategy; </w:t>
      </w:r>
      <w:r>
        <w:rPr>
          <w:rFonts w:ascii="Times New Roman" w:hAnsi="Times New Roman"/>
          <w:color w:val="000000"/>
          <w:sz w:val="20"/>
          <w:u w:val="single"/>
        </w:rPr>
        <w:t>provided</w:t>
      </w:r>
      <w:r>
        <w:rPr>
          <w:rFonts w:ascii="Times New Roman" w:hAnsi="Times New Roman"/>
          <w:color w:val="000000"/>
          <w:sz w:val="20"/>
        </w:rPr>
        <w:t xml:space="preserve"> that Parent will consult in advance with, and consider in good faith the views of, the Company in respect of strategy for dealing with any Governmental Body and obtaining or concluding such authorizations, consents, orders, clearances and approvals.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5.8.        </w:t>
      </w:r>
      <w:r>
        <w:rPr>
          <w:rFonts w:ascii="Times New Roman" w:hAnsi="Times New Roman"/>
          <w:color w:val="000000"/>
          <w:sz w:val="20"/>
          <w:u w:val="single"/>
        </w:rPr>
        <w:t>Public Announcements</w:t>
      </w:r>
      <w:r>
        <w:rPr>
          <w:rFonts w:ascii="Times New Roman" w:hAnsi="Times New Roman"/>
          <w:color w:val="000000"/>
          <w:sz w:val="20"/>
        </w:rPr>
        <w:t xml:space="preserve">. The Company shall not, and Parent shall not, and shall cause each of their respective Subsidiaries to not, issue any press release or announcement or make any other public disclosure, including in any filings or submissions to the SEC, regarding the Contemplated Transactions or, in the case of the Company, regarding the Company or the Company’s business, in each case without the prior consent of the other (which consent may not be unreasonably withheld, conditioned, or delayed), except any release, announcement or disclosure required by applicable Law or any rule or regulation of the SEC, Nasdaq or any other stock exchange to which the relevant party is subject, in which case the party required to make the filing, release or announcement shall use commercially reasonable efforts to allow each other party reasonable time to comment on such filing, release or announcement in advance of such issuance and shall consider in good faith any comments provided by the other party; it being understood that the final form and content of any such release or announcement, to the extent so required, shall be at the final discretion of the disclosing party. The parties hereto agree that the initial press release relating to this Agreement shall be a joint press release issued by the Company and Parent, in the form agreed by the parties. The restrictions of this </w:t>
      </w:r>
      <w:r>
        <w:rPr>
          <w:rFonts w:ascii="Times New Roman" w:hAnsi="Times New Roman"/>
          <w:color w:val="000000"/>
          <w:sz w:val="20"/>
          <w:u w:val="single"/>
        </w:rPr>
        <w:t>Section 5.8</w:t>
      </w:r>
      <w:r>
        <w:rPr>
          <w:rFonts w:ascii="Times New Roman" w:hAnsi="Times New Roman"/>
          <w:color w:val="000000"/>
          <w:sz w:val="20"/>
        </w:rPr>
        <w:t xml:space="preserve"> do not apply to communications by the Company or Parent (i) in connection with, or following, an Acquisition Proposal, Superior Proposal, Change of Board Recommendation, Intervening Event or any action taken pursuant thereto (or communications made or proposed to be made by Parent in response thereto), in each case, that does not violate </w:t>
      </w:r>
      <w:r>
        <w:rPr>
          <w:rFonts w:ascii="Times New Roman" w:hAnsi="Times New Roman"/>
          <w:color w:val="000000"/>
          <w:sz w:val="20"/>
          <w:u w:val="single"/>
        </w:rPr>
        <w:t>Section 5.3</w:t>
      </w:r>
      <w:r>
        <w:rPr>
          <w:rFonts w:ascii="Times New Roman" w:hAnsi="Times New Roman"/>
          <w:color w:val="000000"/>
          <w:sz w:val="20"/>
        </w:rPr>
        <w:t xml:space="preserve"> or (ii) that are substantially consistent with previous public disclosures made by the parties in compliance with this </w:t>
      </w:r>
      <w:r>
        <w:rPr>
          <w:rFonts w:ascii="Times New Roman" w:hAnsi="Times New Roman"/>
          <w:color w:val="000000"/>
          <w:sz w:val="20"/>
          <w:u w:val="single"/>
        </w:rPr>
        <w:t>Section 5.8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5.9.       </w:t>
      </w:r>
      <w:r>
        <w:rPr>
          <w:rFonts w:ascii="Times New Roman" w:hAnsi="Times New Roman"/>
          <w:color w:val="000000"/>
          <w:sz w:val="20"/>
          <w:u w:val="single"/>
        </w:rPr>
        <w:t>Approval of Compensation Actions</w:t>
      </w:r>
      <w:r>
        <w:rPr>
          <w:rFonts w:ascii="Times New Roman" w:hAnsi="Times New Roman"/>
          <w:color w:val="000000"/>
          <w:sz w:val="20"/>
        </w:rPr>
        <w:t>. Prior to the Effective Time, the Compensation Committee of the Company Board shall take all such actions as may be required to approve, as an “employment compensation, severance, or other employee benefit arrangement” in accordance with Rule 14d-10(d)(2) under the Exchange Act and the instructions thereto, any and all Compensation Actions taken after January 1, 2026 and prior to the Effective Time that have not already been so approved. For the purposes of this Agreement, “</w:t>
      </w:r>
      <w:r>
        <w:rPr>
          <w:rFonts w:ascii="Times New Roman" w:hAnsi="Times New Roman"/>
          <w:color w:val="000000"/>
          <w:sz w:val="20"/>
          <w:u w:val="single"/>
        </w:rPr>
        <w:t>Compensation Action</w:t>
      </w:r>
      <w:r>
        <w:rPr>
          <w:rFonts w:ascii="Times New Roman" w:hAnsi="Times New Roman"/>
          <w:color w:val="000000"/>
          <w:sz w:val="20"/>
        </w:rPr>
        <w:t>” means any (a) granting by the Company to any present or former director or officer of any increase in compensation or benefits or of the right to receive any severance or termination compensation or benefit; (b) entry by the Company into any employment, consulting, indemnification, termination, change of control, non-competition, or severance agreement with any present or former director or officer, or any approval, amendment, or modification of any such agreement; or (c) approval of, amendment to, or adoption of any Company Plan.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5.10.     </w:t>
      </w:r>
      <w:r>
        <w:rPr>
          <w:rFonts w:ascii="Times New Roman" w:hAnsi="Times New Roman"/>
          <w:color w:val="000000"/>
          <w:sz w:val="20"/>
          <w:u w:val="single"/>
        </w:rPr>
        <w:t>No Control of the Company’s Business</w:t>
      </w:r>
      <w:r>
        <w:rPr>
          <w:rFonts w:ascii="Times New Roman" w:hAnsi="Times New Roman"/>
          <w:color w:val="000000"/>
          <w:sz w:val="20"/>
        </w:rPr>
        <w:t>. Nothing contained in this Agreement gives Parent or Merger Sub, directly or indirectly, the right to control or direct the Company’s operations prior to the Effective Time. Prior to the Effective Time, the Company shall exercise, consistent with the terms and conditions of this Agreement, complete control and supervision over its operations.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5.11.     </w:t>
      </w:r>
      <w:r>
        <w:rPr>
          <w:rFonts w:ascii="Times New Roman" w:hAnsi="Times New Roman"/>
          <w:color w:val="000000"/>
          <w:sz w:val="20"/>
          <w:u w:val="single"/>
        </w:rPr>
        <w:t>Stockholder Litigation</w:t>
      </w:r>
      <w:r>
        <w:rPr>
          <w:rFonts w:ascii="Times New Roman" w:hAnsi="Times New Roman"/>
          <w:color w:val="000000"/>
          <w:sz w:val="20"/>
        </w:rPr>
        <w:t xml:space="preserve">. The Company shall promptly (and in any event within two (2) Business Days) notify Parent of any Actions instituted against the Company, its Subsidiaries or any of its or their respective directors or officers, in each case, relating to this Agreement or the Contemplated Transactions (each such item described in this </w:t>
      </w:r>
      <w:r>
        <w:rPr>
          <w:rFonts w:ascii="Times New Roman" w:hAnsi="Times New Roman"/>
          <w:color w:val="000000"/>
          <w:sz w:val="20"/>
          <w:u w:val="single"/>
        </w:rPr>
        <w:t>Section 5.11</w:t>
      </w:r>
      <w:r>
        <w:rPr>
          <w:rFonts w:ascii="Times New Roman" w:hAnsi="Times New Roman"/>
          <w:color w:val="000000"/>
          <w:sz w:val="20"/>
        </w:rPr>
        <w:t>, “</w:t>
      </w:r>
      <w:r>
        <w:rPr>
          <w:rFonts w:ascii="Times New Roman" w:hAnsi="Times New Roman"/>
          <w:color w:val="000000"/>
          <w:sz w:val="20"/>
          <w:u w:val="single"/>
        </w:rPr>
        <w:t>Stockholder Litigation</w:t>
      </w:r>
      <w:r>
        <w:rPr>
          <w:rFonts w:ascii="Times New Roman" w:hAnsi="Times New Roman"/>
          <w:color w:val="000000"/>
          <w:sz w:val="20"/>
        </w:rPr>
        <w:t>”). Subject to the preservation of the attorney-client or other applicable privilege protection under the work product or other doctrine and protection of confidential information and except if the Company Board (or any committee thereof) has made a Change of Board Recommendation, Parent shall have the right to participate in the defense and settlement of any such Stockholder Litigation, the Company shall consult with Parent (which advice the Company shall consider in good faith) regarding the defense of any such Stockholder Litigation, and the Company shall not settle or compromise any Stockholder Litigation without the prior written consent of Parent, not to be unreasonably withheld, delayed or conditioned, unless (i) such settlement is fully covered by the Company’s insurance policies (other than any applicable deductible) or (ii) such settlement relates solely to the provision of additional disclosure in the Schedule 14D-9, but in each case only if such settlement would not result in the imposition of any restriction on the business or operations of the Company or its Affiliates. The Company shall notify Parent promptly of the commencement or written threat of any proceedings of which it has received notice or become aware and shall keep Parent promptly and reasonably informed regarding any such proceedings.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5.12.       </w:t>
      </w:r>
      <w:r>
        <w:rPr>
          <w:rFonts w:ascii="Times New Roman" w:hAnsi="Times New Roman"/>
          <w:color w:val="000000"/>
          <w:sz w:val="20"/>
          <w:u w:val="single"/>
        </w:rPr>
        <w:t>Regulatory Matters</w:t>
      </w:r>
      <w:r>
        <w:rPr>
          <w:rFonts w:ascii="Times New Roman" w:hAnsi="Times New Roman"/>
          <w:color w:val="000000"/>
          <w:sz w:val="20"/>
        </w:rPr>
        <w:t xml:space="preserve">. Between the date of this Agreement and the earlier of the Effective Time or the termination of this Agreement, each of the Company and its Subsidiaries shall use reasonable best efforts to make available to Parent and its Representatives complete and accurate copies of (a) all material clinical and preclinical data relating to the Products and (b) all material written or oral correspondence or other communications between the Company or any of its Subsidiaries, on the one hand, and the applicable Governmental Bodies, on the other hand, including all material written or oral correspondence relating to the Products, in the case of each of clauses (a) and (b) above, that comes into the Company’s or any of its Subsidiaries’ possession or control during such time period promptly (and in any event no later than three (3) Business Days) after the Company obtains such possession or control thereof and subject to the limitations set forth in </w:t>
      </w:r>
      <w:r>
        <w:rPr>
          <w:rFonts w:ascii="Times New Roman" w:hAnsi="Times New Roman"/>
          <w:color w:val="000000"/>
          <w:sz w:val="20"/>
          <w:u w:val="single"/>
        </w:rPr>
        <w:t>Section 5.2</w:t>
      </w:r>
      <w:r>
        <w:rPr>
          <w:rFonts w:ascii="Times New Roman" w:hAnsi="Times New Roman"/>
          <w:color w:val="000000"/>
          <w:sz w:val="20"/>
        </w:rPr>
        <w:t xml:space="preserve"> (it being understood that data and correspondence in the possession of a contract research organization or similar third party acting on behalf of the Company shall not be deemed to be in possession of the Company solely by reason of its being in the possession of such third party). The Company shall, and shall cause its Subsidiaries to, and shall direct its and their Representatives to reasonably consult and cooperate with Parent, as and to the extent reasonably requested by Parent, and consider in good faith the views and comments of Parent in connection with any material communications (including meetings or teleconferences) with any Governmental Body, including communications relating to clinical and preclinical trials related to the Products.</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5.13.      </w:t>
      </w:r>
      <w:r>
        <w:rPr>
          <w:rFonts w:ascii="Times New Roman" w:hAnsi="Times New Roman"/>
          <w:color w:val="000000"/>
          <w:sz w:val="20"/>
          <w:u w:val="single"/>
        </w:rPr>
        <w:t>Cash Management</w:t>
      </w:r>
      <w:r>
        <w:rPr>
          <w:rFonts w:ascii="Times New Roman" w:hAnsi="Times New Roman"/>
          <w:color w:val="000000"/>
          <w:sz w:val="20"/>
        </w:rPr>
        <w:t xml:space="preserve">. Prior to the Effective Time, the Company shall use reasonable best efforts to convert all Investment Securities, including those listed on </w:t>
      </w:r>
      <w:r>
        <w:rPr>
          <w:rFonts w:ascii="Times New Roman" w:hAnsi="Times New Roman"/>
          <w:color w:val="000000"/>
          <w:sz w:val="20"/>
          <w:u w:val="single"/>
        </w:rPr>
        <w:t>Section 5.13(a)</w:t>
      </w:r>
      <w:r>
        <w:rPr>
          <w:rFonts w:ascii="Times New Roman" w:hAnsi="Times New Roman"/>
          <w:color w:val="000000"/>
          <w:sz w:val="20"/>
        </w:rPr>
        <w:t xml:space="preserve"> of the Company Disclosure Letter, to Cash and Cash Equivalents;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Investment Securities listed on </w:t>
      </w:r>
      <w:r>
        <w:rPr>
          <w:rFonts w:ascii="Times New Roman" w:hAnsi="Times New Roman"/>
          <w:color w:val="000000"/>
          <w:sz w:val="20"/>
          <w:u w:val="single"/>
        </w:rPr>
        <w:t>Section 5.13(b)</w:t>
      </w:r>
      <w:r>
        <w:rPr>
          <w:rFonts w:ascii="Times New Roman" w:hAnsi="Times New Roman"/>
          <w:color w:val="000000"/>
          <w:sz w:val="20"/>
        </w:rPr>
        <w:t> of the Company Disclosure Letter shall not be sold and converted to cash.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5.14.      </w:t>
      </w:r>
      <w:r>
        <w:rPr>
          <w:rFonts w:ascii="Times New Roman" w:hAnsi="Times New Roman"/>
          <w:color w:val="000000"/>
          <w:sz w:val="20"/>
          <w:u w:val="single"/>
        </w:rPr>
        <w:t>Stock Exchange De-listing</w:t>
      </w:r>
      <w:r>
        <w:rPr>
          <w:rFonts w:ascii="Times New Roman" w:hAnsi="Times New Roman"/>
          <w:color w:val="000000"/>
          <w:sz w:val="20"/>
        </w:rPr>
        <w:t>. The Company shall cause the Company’s securities to be de-listed from Nasdaq and de-registered under the Exchange Act as promptly as practicable following the Effective Time. If the Surviving Corporation will be required to file any quarterly or annual periodic reports pursuant to the Exchange Act during the ten (10) days after the Closing Date, the Company will deliver to Parent at least two (2) Business Days prior to the Closing a substantially final draft of any such quarterly or annual periodic report required to be filed during such period and, if requested by Parent at least five (5) Business Days prior to Closing, file  such quarterly or annual period report, as applicable, prior to Closing.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5.15.      </w:t>
      </w:r>
      <w:r>
        <w:rPr>
          <w:rFonts w:ascii="Times New Roman" w:hAnsi="Times New Roman"/>
          <w:color w:val="000000"/>
          <w:sz w:val="20"/>
          <w:u w:val="single"/>
        </w:rPr>
        <w:t>Termination of Certain Agreements</w:t>
      </w:r>
      <w:r>
        <w:rPr>
          <w:rFonts w:ascii="Times New Roman" w:hAnsi="Times New Roman"/>
          <w:color w:val="000000"/>
          <w:sz w:val="20"/>
        </w:rPr>
        <w:t xml:space="preserve">. At or prior to the Effective Time, the Company shall terminate, or cause to be terminated, the Contracts set forth on </w:t>
      </w:r>
      <w:r>
        <w:rPr>
          <w:rFonts w:ascii="Times New Roman" w:hAnsi="Times New Roman"/>
          <w:color w:val="000000"/>
          <w:sz w:val="20"/>
          <w:u w:val="single"/>
        </w:rPr>
        <w:t>Section 5.15</w:t>
      </w:r>
      <w:r>
        <w:rPr>
          <w:rFonts w:ascii="Times New Roman" w:hAnsi="Times New Roman"/>
          <w:color w:val="000000"/>
          <w:sz w:val="20"/>
        </w:rPr>
        <w:t xml:space="preserve"> of the Company Disclosure Letter, with such termination(s) becoming effective no later than as of the Effective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5.16.       </w:t>
      </w:r>
      <w:r>
        <w:rPr>
          <w:rFonts w:ascii="Times New Roman" w:hAnsi="Times New Roman"/>
          <w:color w:val="000000"/>
          <w:sz w:val="20"/>
          <w:u w:val="single"/>
        </w:rPr>
        <w:t>Termination of Subsidiary Incentive Equity Awards; Wind-Up of HSOP Partnership</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Except as set forth on Section 5.20 of the Company Disclosure Schedule, prior to the Effective Time, the Company shall, and shall cause each of its Subsidiaries to, use reasonable best efforts to enter into a binding agreement (each, a “</w:t>
      </w:r>
      <w:r>
        <w:rPr>
          <w:rFonts w:ascii="Times New Roman" w:hAnsi="Times New Roman"/>
          <w:color w:val="000000"/>
          <w:sz w:val="20"/>
          <w:u w:val="single"/>
        </w:rPr>
        <w:t>Subsidiary Award Termination Agreement</w:t>
      </w:r>
      <w:r>
        <w:rPr>
          <w:rFonts w:ascii="Times New Roman" w:hAnsi="Times New Roman"/>
          <w:color w:val="000000"/>
          <w:sz w:val="20"/>
        </w:rPr>
        <w:t>”) with each holder of an Equity Award granted by a Subsidiary of the Company (each, a “</w:t>
      </w:r>
      <w:r>
        <w:rPr>
          <w:rFonts w:ascii="Times New Roman" w:hAnsi="Times New Roman"/>
          <w:color w:val="000000"/>
          <w:sz w:val="20"/>
          <w:u w:val="single"/>
        </w:rPr>
        <w:t>Subsidiary Equity Award</w:t>
      </w:r>
      <w:r>
        <w:rPr>
          <w:rFonts w:ascii="Times New Roman" w:hAnsi="Times New Roman"/>
          <w:color w:val="000000"/>
          <w:sz w:val="20"/>
        </w:rPr>
        <w:t>”), providing for the termination and cancellation of such Subsidiary Equity Awards and a release of claims in favor of the applicable Subsidiary, in exchange for a lump sum cash payment equal to the Subsidiary Equity Award Fair Market Value, less any applicable Tax withholding, effective no later than immediately prior to the Effective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shall provide Parent with drafts of (i) the forms of Subsidiary Award Termination Agreements and (ii) a schedule setting forth the amounts if any, to be paid to each holder of a Subsidiary Equity Award in respect of such Subsidiary Equity Award (including the methodology for calculating such amounts) (collectively, the “</w:t>
      </w:r>
      <w:r>
        <w:rPr>
          <w:rFonts w:ascii="Times New Roman" w:hAnsi="Times New Roman"/>
          <w:color w:val="000000"/>
          <w:sz w:val="20"/>
          <w:u w:val="single"/>
        </w:rPr>
        <w:t>Subsidiary Award Materials</w:t>
      </w:r>
      <w:r>
        <w:rPr>
          <w:rFonts w:ascii="Times New Roman" w:hAnsi="Times New Roman"/>
          <w:color w:val="000000"/>
          <w:sz w:val="20"/>
        </w:rPr>
        <w:t>”) in each case no later than twenty (20) Business Days prior to the Effective Time, for Parent’s review and comment, and the Company or its applicable Subsidiary shall incorporate all reasonable comments made by Parent to such Subsidiary Award Materials.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Company shall cause ATAI Life Sciences HSOP GbR (the “</w:t>
      </w:r>
      <w:r>
        <w:rPr>
          <w:rFonts w:ascii="Times New Roman" w:hAnsi="Times New Roman"/>
          <w:color w:val="000000"/>
          <w:sz w:val="20"/>
          <w:u w:val="single"/>
        </w:rPr>
        <w:t>HSOP Partnership</w:t>
      </w:r>
      <w:r>
        <w:rPr>
          <w:rFonts w:ascii="Times New Roman" w:hAnsi="Times New Roman"/>
          <w:color w:val="000000"/>
          <w:sz w:val="20"/>
        </w:rPr>
        <w:t>”) to use reasonable best efforts to enter into a binding agreement (each, an “</w:t>
      </w:r>
      <w:r>
        <w:rPr>
          <w:rFonts w:ascii="Times New Roman" w:hAnsi="Times New Roman"/>
          <w:color w:val="000000"/>
          <w:sz w:val="20"/>
          <w:u w:val="single"/>
        </w:rPr>
        <w:t>HSOP Wind-Up Agreement</w:t>
      </w:r>
      <w:r>
        <w:rPr>
          <w:rFonts w:ascii="Times New Roman" w:hAnsi="Times New Roman"/>
          <w:color w:val="000000"/>
          <w:sz w:val="20"/>
        </w:rPr>
        <w:t>”) with each of the partners of the HSOP Partnership (each, a “</w:t>
      </w:r>
      <w:r>
        <w:rPr>
          <w:rFonts w:ascii="Times New Roman" w:hAnsi="Times New Roman"/>
          <w:color w:val="000000"/>
          <w:sz w:val="20"/>
          <w:u w:val="single"/>
        </w:rPr>
        <w:t>HSOP Partner</w:t>
      </w:r>
      <w:r>
        <w:rPr>
          <w:rFonts w:ascii="Times New Roman" w:hAnsi="Times New Roman"/>
          <w:color w:val="000000"/>
          <w:sz w:val="20"/>
        </w:rPr>
        <w:t>”), providing for the wind-up and dissolution of the HSOP Partnership and, as it relates to each of the HSOP Partners, a release of claims in favor of the HSOP Partnership, the Company, and its Affiliates, with such agreements to be entered into prior to the Effective Time and effective upon receipt by the HSOP Partner of the distribution by the HSOP Partnership of the amounts to be distributed to such HSOP Partner in respect of the Shares held by the HSOP Partnership on behalf of, or in respect of, the HSOP Partner.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The Company shall provide Parent with drafts of (i) the forms of HSOP Wind-Up Agreements and (ii) a schedule setting forth the amounts if any, to be paid to each partner in the HSOP Partnership in respect of such partnership interest (including the methodology for calculating such amounts) (collectively, the “</w:t>
      </w:r>
      <w:r>
        <w:rPr>
          <w:rFonts w:ascii="Times New Roman" w:hAnsi="Times New Roman"/>
          <w:color w:val="000000"/>
          <w:sz w:val="20"/>
          <w:u w:val="single"/>
        </w:rPr>
        <w:t>HSOP Wind-Up Materials</w:t>
      </w:r>
      <w:r>
        <w:rPr>
          <w:rFonts w:ascii="Times New Roman" w:hAnsi="Times New Roman"/>
          <w:color w:val="000000"/>
          <w:sz w:val="20"/>
        </w:rPr>
        <w:t>”) in each case no later than twenty (20) Business Days prior to the Effective Time, for Parent’s review and comment, and the Company or the HSOP Partnership, as applicable, shall incorporate all reasonable comments made by Parent to such HSOP Wind-Up Materials.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The Company shall use reasonable best efforts to cause all Subsidiary Award Termination Agreements and HSOP Wind-Up Materials to be fully executed and effective no later than five (5) Business Days prior to the Effective Time.  The Company shall promptly deliver to Parent fully executed copies of all such Subsidiary Award Termination Agreements and HSOP Wind-Up Agreements no later than three (3) Business Days prior to the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5.17.      </w:t>
      </w:r>
      <w:r>
        <w:rPr>
          <w:rFonts w:ascii="Times New Roman" w:hAnsi="Times New Roman"/>
          <w:color w:val="000000"/>
          <w:sz w:val="20"/>
          <w:u w:val="single"/>
        </w:rPr>
        <w:t>FIRPTA Certificate</w:t>
      </w:r>
      <w:r>
        <w:rPr>
          <w:rFonts w:ascii="Times New Roman" w:hAnsi="Times New Roman"/>
          <w:color w:val="000000"/>
          <w:sz w:val="20"/>
        </w:rPr>
        <w:t>. Prior to the Effective Time, the Company shall deliver an affidavit to Parent stating that the Company is not and has not been a United States real property holding corporation, in the form and substance required under Treasury Regulation §1.897-2(h), as of the Effective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5.18.      </w:t>
      </w:r>
      <w:r>
        <w:rPr>
          <w:rFonts w:ascii="Times New Roman" w:hAnsi="Times New Roman"/>
          <w:color w:val="000000"/>
          <w:sz w:val="20"/>
          <w:u w:val="single"/>
        </w:rPr>
        <w:t>Sales Agreement</w:t>
      </w:r>
      <w:r>
        <w:rPr>
          <w:rFonts w:ascii="Times New Roman" w:hAnsi="Times New Roman"/>
          <w:color w:val="000000"/>
          <w:sz w:val="20"/>
        </w:rPr>
        <w:t>. Within ten (10) Business Days of the date of this Agreement, the Company shall cause the Sales Agreement to be terminated.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5.19.     </w:t>
      </w:r>
      <w:r>
        <w:rPr>
          <w:rFonts w:ascii="Times New Roman" w:hAnsi="Times New Roman"/>
          <w:color w:val="000000"/>
          <w:sz w:val="20"/>
          <w:u w:val="single"/>
        </w:rPr>
        <w:t>CVR Agreement</w:t>
      </w:r>
      <w:r>
        <w:rPr>
          <w:rFonts w:ascii="Times New Roman" w:hAnsi="Times New Roman"/>
          <w:color w:val="000000"/>
          <w:sz w:val="20"/>
        </w:rPr>
        <w:t>. At or prior to the Effective Time, Parent shall authorize and duly execute and deliver, and will ensure that a duly qualified Rights Agent executes and delivers, the CVR Agreement, subject to any reasonable revisions to the CVR Agreement that are requested by such Rights Agent (provided that such revisions are not, individually or in the aggregate, detrimental or adverse, taken as a whole, to any holder of a CVR).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5.20.     </w:t>
      </w:r>
      <w:r>
        <w:rPr>
          <w:rFonts w:ascii="Times New Roman" w:hAnsi="Times New Roman"/>
          <w:color w:val="000000"/>
          <w:sz w:val="20"/>
          <w:u w:val="single"/>
        </w:rPr>
        <w:t>Entity Management</w:t>
      </w:r>
      <w:r>
        <w:rPr>
          <w:rFonts w:ascii="Times New Roman" w:hAnsi="Times New Roman"/>
          <w:color w:val="000000"/>
          <w:sz w:val="20"/>
        </w:rPr>
        <w:t xml:space="preserve">. Prior to the Effective Time, Parent shall, and shall cause its Subsidiaries to, take the actions set forth on </w:t>
      </w:r>
      <w:r>
        <w:rPr>
          <w:rFonts w:ascii="Times New Roman" w:hAnsi="Times New Roman"/>
          <w:color w:val="000000"/>
          <w:sz w:val="20"/>
          <w:u w:val="single"/>
        </w:rPr>
        <w:t>Section 5.20</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CONDITIONS OF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       </w:t>
      </w:r>
      <w:r>
        <w:rPr>
          <w:rFonts w:ascii="Times New Roman" w:hAnsi="Times New Roman"/>
          <w:color w:val="000000"/>
          <w:sz w:val="20"/>
          <w:u w:val="single"/>
        </w:rPr>
        <w:t>Conditions to Obligation of Each Party to Effect the Merger</w:t>
      </w:r>
      <w:r>
        <w:rPr>
          <w:rFonts w:ascii="Times New Roman" w:hAnsi="Times New Roman"/>
          <w:color w:val="000000"/>
          <w:sz w:val="20"/>
        </w:rPr>
        <w:t>. The respective obligations of each party to effect the Merger are subject to the satisfaction at or prior to the Effective Time of each of the following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Company Stockholder Approval shall have been obtained.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(i) Any applicable waiting period (or any extension thereof) applicable to the Contemplated Transactions under the HSR Act shall have expired or been terminated, (ii) the notices, approvals and clearances required to be given and obtained and are in full force and effect, as applicable, pursuant to Antitrust and FDI Laws in respect of the Contemplated Transactions and set forth on </w:t>
      </w:r>
      <w:r>
        <w:rPr>
          <w:rFonts w:ascii="Times New Roman" w:hAnsi="Times New Roman"/>
          <w:color w:val="000000"/>
          <w:sz w:val="20"/>
          <w:u w:val="single"/>
        </w:rPr>
        <w:t>Section 6.1(b)</w:t>
      </w:r>
      <w:r>
        <w:rPr>
          <w:rFonts w:ascii="Times New Roman" w:hAnsi="Times New Roman"/>
          <w:color w:val="000000"/>
          <w:sz w:val="20"/>
        </w:rPr>
        <w:t xml:space="preserve"> of the Company Disclosure Letter shall have been given and obtained and (iii) any agreement with a Governmental Body in any jurisdiction identified </w:t>
      </w:r>
      <w:r>
        <w:rPr>
          <w:rFonts w:ascii="Times New Roman" w:hAnsi="Times New Roman"/>
          <w:color w:val="000000"/>
          <w:sz w:val="20"/>
          <w:u w:val="single"/>
        </w:rPr>
        <w:t>Section 6.1(b)</w:t>
      </w:r>
      <w:r>
        <w:rPr>
          <w:rFonts w:ascii="Times New Roman" w:hAnsi="Times New Roman"/>
          <w:color w:val="000000"/>
          <w:sz w:val="20"/>
        </w:rPr>
        <w:t xml:space="preserve"> of the Company Disclosure Letter not to consummate or to delay consummation of the Contemplated Transactions shall have expired or been terminated.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There shall not have been issued by any Governmental Body of competent jurisdiction and remain in effect any temporary restraining order, preliminary or permanent injunction or other order preventing the consummation of the Merger, nor shall any Laws have been promulgated, enacted, issued or deemed applicable to the Merger by any Governmental Body of competent jurisdiction which prohibits or makes illegal the consummation of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6.2.        </w:t>
      </w:r>
      <w:r>
        <w:rPr>
          <w:rFonts w:ascii="Times New Roman" w:hAnsi="Times New Roman"/>
          <w:color w:val="000000"/>
          <w:sz w:val="20"/>
          <w:u w:val="single"/>
        </w:rPr>
        <w:t>Conditions to Obligation of Parent and Merger Sub to Effect the Merger</w:t>
      </w:r>
      <w:r>
        <w:rPr>
          <w:rFonts w:ascii="Times New Roman" w:hAnsi="Times New Roman"/>
          <w:color w:val="000000"/>
          <w:sz w:val="20"/>
        </w:rPr>
        <w:t>. The respective obligations of Parent and Merger Sub to effect the Merger are subject to the satisfaction or waiver in writing (where permissible) at or prior to the Effective Time of each of the following conditions: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(i) The representations and warranties of the Company contained in this Agreement (other than the representations and warranties set forth in </w:t>
      </w:r>
      <w:r>
        <w:rPr>
          <w:rFonts w:ascii="Times New Roman" w:hAnsi="Times New Roman"/>
          <w:color w:val="000000"/>
          <w:sz w:val="20"/>
          <w:u w:val="single"/>
        </w:rPr>
        <w:t>Section 3.1</w:t>
      </w:r>
      <w:r>
        <w:rPr>
          <w:rFonts w:ascii="Times New Roman" w:hAnsi="Times New Roman"/>
          <w:color w:val="000000"/>
          <w:sz w:val="20"/>
        </w:rPr>
        <w:t xml:space="preserve"> (</w:t>
      </w:r>
      <w:r>
        <w:rPr>
          <w:rFonts w:ascii="Times New Roman" w:hAnsi="Times New Roman"/>
          <w:i/>
          <w:color w:val="000000"/>
          <w:sz w:val="20"/>
        </w:rPr>
        <w:t>Organization and Corporate Power</w:t>
      </w:r>
      <w:r>
        <w:rPr>
          <w:rFonts w:ascii="Times New Roman" w:hAnsi="Times New Roman"/>
          <w:color w:val="000000"/>
          <w:sz w:val="20"/>
        </w:rPr>
        <w:t xml:space="preserve">), </w:t>
      </w:r>
      <w:r>
        <w:rPr>
          <w:rFonts w:ascii="Times New Roman" w:hAnsi="Times New Roman"/>
          <w:color w:val="000000"/>
          <w:sz w:val="20"/>
          <w:u w:val="single"/>
        </w:rPr>
        <w:t>Section 3.2</w:t>
      </w:r>
      <w:r>
        <w:rPr>
          <w:rFonts w:ascii="Times New Roman" w:hAnsi="Times New Roman"/>
          <w:color w:val="000000"/>
          <w:sz w:val="20"/>
        </w:rPr>
        <w:t xml:space="preserve"> (</w:t>
      </w:r>
      <w:r>
        <w:rPr>
          <w:rFonts w:ascii="Times New Roman" w:hAnsi="Times New Roman"/>
          <w:i/>
          <w:color w:val="000000"/>
          <w:sz w:val="20"/>
        </w:rPr>
        <w:t>Authorization; Valid and Binding Agreement</w:t>
      </w:r>
      <w:r>
        <w:rPr>
          <w:rFonts w:ascii="Times New Roman" w:hAnsi="Times New Roman"/>
          <w:color w:val="000000"/>
          <w:sz w:val="20"/>
        </w:rPr>
        <w:t xml:space="preserve">), </w:t>
      </w:r>
      <w:r>
        <w:rPr>
          <w:rFonts w:ascii="Times New Roman" w:hAnsi="Times New Roman"/>
          <w:color w:val="000000"/>
          <w:sz w:val="20"/>
          <w:u w:val="single"/>
        </w:rPr>
        <w:t>Section 3.3</w:t>
      </w:r>
      <w:r>
        <w:rPr>
          <w:rFonts w:ascii="Times New Roman" w:hAnsi="Times New Roman"/>
          <w:color w:val="000000"/>
          <w:sz w:val="20"/>
        </w:rPr>
        <w:t xml:space="preserve"> (</w:t>
      </w:r>
      <w:r>
        <w:rPr>
          <w:rFonts w:ascii="Times New Roman" w:hAnsi="Times New Roman"/>
          <w:i/>
          <w:color w:val="000000"/>
          <w:sz w:val="20"/>
        </w:rPr>
        <w:t>Capital Stock</w:t>
      </w:r>
      <w:r>
        <w:rPr>
          <w:rFonts w:ascii="Times New Roman" w:hAnsi="Times New Roman"/>
          <w:color w:val="000000"/>
          <w:sz w:val="20"/>
        </w:rPr>
        <w:t xml:space="preserve">), </w:t>
      </w:r>
      <w:r>
        <w:rPr>
          <w:rFonts w:ascii="Times New Roman" w:hAnsi="Times New Roman"/>
          <w:color w:val="000000"/>
          <w:sz w:val="20"/>
          <w:u w:val="single"/>
        </w:rPr>
        <w:t>Section 3.4(a)</w:t>
      </w:r>
      <w:r>
        <w:rPr>
          <w:rFonts w:ascii="Times New Roman" w:hAnsi="Times New Roman"/>
          <w:color w:val="000000"/>
          <w:sz w:val="20"/>
        </w:rPr>
        <w:t xml:space="preserve"> (</w:t>
      </w:r>
      <w:r>
        <w:rPr>
          <w:rFonts w:ascii="Times New Roman" w:hAnsi="Times New Roman"/>
          <w:i/>
          <w:color w:val="000000"/>
          <w:sz w:val="20"/>
        </w:rPr>
        <w:t>No Breach</w:t>
      </w:r>
      <w:r>
        <w:rPr>
          <w:rFonts w:ascii="Times New Roman" w:hAnsi="Times New Roman"/>
          <w:color w:val="000000"/>
          <w:sz w:val="20"/>
        </w:rPr>
        <w:t xml:space="preserve">), </w:t>
      </w:r>
      <w:r>
        <w:rPr>
          <w:rFonts w:ascii="Times New Roman" w:hAnsi="Times New Roman"/>
          <w:color w:val="000000"/>
          <w:sz w:val="20"/>
          <w:u w:val="single"/>
        </w:rPr>
        <w:t>Section 3.8(a)</w:t>
      </w:r>
      <w:r>
        <w:rPr>
          <w:rFonts w:ascii="Times New Roman" w:hAnsi="Times New Roman"/>
          <w:color w:val="000000"/>
          <w:sz w:val="20"/>
        </w:rPr>
        <w:t xml:space="preserve"> (</w:t>
      </w:r>
      <w:r>
        <w:rPr>
          <w:rFonts w:ascii="Times New Roman" w:hAnsi="Times New Roman"/>
          <w:i/>
          <w:color w:val="000000"/>
          <w:sz w:val="20"/>
        </w:rPr>
        <w:t>Absence of Company Material Adverse Effect</w:t>
      </w:r>
      <w:r>
        <w:rPr>
          <w:rFonts w:ascii="Times New Roman" w:hAnsi="Times New Roman"/>
          <w:color w:val="000000"/>
          <w:sz w:val="20"/>
        </w:rPr>
        <w:t xml:space="preserve">); </w:t>
      </w:r>
      <w:r>
        <w:rPr>
          <w:rFonts w:ascii="Times New Roman" w:hAnsi="Times New Roman"/>
          <w:color w:val="000000"/>
          <w:sz w:val="20"/>
          <w:u w:val="single"/>
        </w:rPr>
        <w:t>Section 3.21</w:t>
      </w:r>
      <w:r>
        <w:rPr>
          <w:rFonts w:ascii="Times New Roman" w:hAnsi="Times New Roman"/>
          <w:color w:val="000000"/>
          <w:sz w:val="20"/>
        </w:rPr>
        <w:t xml:space="preserve"> (</w:t>
      </w:r>
      <w:r>
        <w:rPr>
          <w:rFonts w:ascii="Times New Roman" w:hAnsi="Times New Roman"/>
          <w:i/>
          <w:color w:val="000000"/>
          <w:sz w:val="20"/>
        </w:rPr>
        <w:t>Brokerage</w:t>
      </w:r>
      <w:r>
        <w:rPr>
          <w:rFonts w:ascii="Times New Roman" w:hAnsi="Times New Roman"/>
          <w:color w:val="000000"/>
          <w:sz w:val="20"/>
        </w:rPr>
        <w:t xml:space="preserve">) and </w:t>
      </w:r>
      <w:r>
        <w:rPr>
          <w:rFonts w:ascii="Times New Roman" w:hAnsi="Times New Roman"/>
          <w:color w:val="000000"/>
          <w:sz w:val="20"/>
          <w:u w:val="single"/>
        </w:rPr>
        <w:t>Section 3.23</w:t>
      </w:r>
      <w:r>
        <w:rPr>
          <w:rFonts w:ascii="Times New Roman" w:hAnsi="Times New Roman"/>
          <w:color w:val="000000"/>
          <w:sz w:val="20"/>
        </w:rPr>
        <w:t xml:space="preserve"> (</w:t>
      </w:r>
      <w:r>
        <w:rPr>
          <w:rFonts w:ascii="Times New Roman" w:hAnsi="Times New Roman"/>
          <w:i/>
          <w:color w:val="000000"/>
          <w:sz w:val="20"/>
        </w:rPr>
        <w:t>Opinion</w:t>
      </w:r>
      <w:r>
        <w:rPr>
          <w:rFonts w:ascii="Times New Roman" w:hAnsi="Times New Roman"/>
          <w:color w:val="000000"/>
          <w:sz w:val="20"/>
        </w:rPr>
        <w:t xml:space="preserve">)) that (x) are not made as of an earlier date, shall be true and correct as of the Closing Date, as though made on and as of the Closing Date and (y) are made as of an earlier date, shall be true and correct as of such date, except, in the case of (x) or (y), where the failure of such representations and warranties to be true and correct (without giving effect to any limitation as to “materiality” or “Company Material Adverse Effect”) has not had a Company Material Adverse Effect, (iii) the representation set forth in </w:t>
      </w:r>
      <w:r>
        <w:rPr>
          <w:rFonts w:ascii="Times New Roman" w:hAnsi="Times New Roman"/>
          <w:color w:val="000000"/>
          <w:sz w:val="20"/>
          <w:u w:val="single"/>
        </w:rPr>
        <w:t>Section 3.8(a)</w:t>
      </w:r>
      <w:r>
        <w:rPr>
          <w:rFonts w:ascii="Times New Roman" w:hAnsi="Times New Roman"/>
          <w:color w:val="000000"/>
          <w:sz w:val="20"/>
        </w:rPr>
        <w:t xml:space="preserve"> (</w:t>
      </w:r>
      <w:r>
        <w:rPr>
          <w:rFonts w:ascii="Times New Roman" w:hAnsi="Times New Roman"/>
          <w:i/>
          <w:color w:val="000000"/>
          <w:sz w:val="20"/>
        </w:rPr>
        <w:t>Absence of Company Material Adverse Effect</w:t>
      </w:r>
      <w:r>
        <w:rPr>
          <w:rFonts w:ascii="Times New Roman" w:hAnsi="Times New Roman"/>
          <w:color w:val="000000"/>
          <w:sz w:val="20"/>
        </w:rPr>
        <w:t xml:space="preserve">) shall be true and correct in all respects, as of the date of this Agreement and the Closing Date as though made on and as of such date and time, (iv) the representations and warranties set forth in </w:t>
      </w:r>
      <w:r>
        <w:rPr>
          <w:rFonts w:ascii="Times New Roman" w:hAnsi="Times New Roman"/>
          <w:color w:val="000000"/>
          <w:sz w:val="20"/>
          <w:u w:val="single"/>
        </w:rPr>
        <w:t>Section 3.1</w:t>
      </w:r>
      <w:r>
        <w:rPr>
          <w:rFonts w:ascii="Times New Roman" w:hAnsi="Times New Roman"/>
          <w:color w:val="000000"/>
          <w:sz w:val="20"/>
        </w:rPr>
        <w:t xml:space="preserve"> (</w:t>
      </w:r>
      <w:r>
        <w:rPr>
          <w:rFonts w:ascii="Times New Roman" w:hAnsi="Times New Roman"/>
          <w:i/>
          <w:color w:val="000000"/>
          <w:sz w:val="20"/>
        </w:rPr>
        <w:t>Organization and Corporate Power</w:t>
      </w:r>
      <w:r>
        <w:rPr>
          <w:rFonts w:ascii="Times New Roman" w:hAnsi="Times New Roman"/>
          <w:color w:val="000000"/>
          <w:sz w:val="20"/>
        </w:rPr>
        <w:t xml:space="preserve">), </w:t>
      </w:r>
      <w:r>
        <w:rPr>
          <w:rFonts w:ascii="Times New Roman" w:hAnsi="Times New Roman"/>
          <w:color w:val="000000"/>
          <w:sz w:val="20"/>
          <w:u w:val="single"/>
        </w:rPr>
        <w:t>Section 3.2</w:t>
      </w:r>
      <w:r>
        <w:rPr>
          <w:rFonts w:ascii="Times New Roman" w:hAnsi="Times New Roman"/>
          <w:color w:val="000000"/>
          <w:sz w:val="20"/>
        </w:rPr>
        <w:t xml:space="preserve"> (</w:t>
      </w:r>
      <w:r>
        <w:rPr>
          <w:rFonts w:ascii="Times New Roman" w:hAnsi="Times New Roman"/>
          <w:i/>
          <w:color w:val="000000"/>
          <w:sz w:val="20"/>
        </w:rPr>
        <w:t>Authorization; Valid and Binding Agreement</w:t>
      </w:r>
      <w:r>
        <w:rPr>
          <w:rFonts w:ascii="Times New Roman" w:hAnsi="Times New Roman"/>
          <w:color w:val="000000"/>
          <w:sz w:val="20"/>
        </w:rPr>
        <w:t xml:space="preserve">), </w:t>
      </w:r>
      <w:r>
        <w:rPr>
          <w:rFonts w:ascii="Times New Roman" w:hAnsi="Times New Roman"/>
          <w:color w:val="000000"/>
          <w:sz w:val="20"/>
          <w:u w:val="single"/>
        </w:rPr>
        <w:t>Section 3.3</w:t>
      </w:r>
      <w:r>
        <w:rPr>
          <w:rFonts w:ascii="Times New Roman" w:hAnsi="Times New Roman"/>
          <w:color w:val="000000"/>
          <w:sz w:val="20"/>
        </w:rPr>
        <w:t xml:space="preserve"> (other than </w:t>
      </w:r>
      <w:r>
        <w:rPr>
          <w:rFonts w:ascii="Times New Roman" w:hAnsi="Times New Roman"/>
          <w:color w:val="000000"/>
          <w:sz w:val="20"/>
          <w:u w:val="single"/>
        </w:rPr>
        <w:t>Section 3.3(a)</w:t>
      </w:r>
      <w:r>
        <w:rPr>
          <w:rFonts w:ascii="Times New Roman" w:hAnsi="Times New Roman"/>
          <w:color w:val="000000"/>
          <w:sz w:val="20"/>
        </w:rPr>
        <w:t xml:space="preserve">, </w:t>
      </w:r>
      <w:r>
        <w:rPr>
          <w:rFonts w:ascii="Times New Roman" w:hAnsi="Times New Roman"/>
          <w:color w:val="000000"/>
          <w:sz w:val="20"/>
          <w:u w:val="single"/>
        </w:rPr>
        <w:t>(b)(iv)</w:t>
      </w:r>
      <w:r>
        <w:rPr>
          <w:rFonts w:ascii="Times New Roman" w:hAnsi="Times New Roman"/>
          <w:color w:val="000000"/>
          <w:sz w:val="20"/>
        </w:rPr>
        <w:t xml:space="preserve"> (only with respect to the Company), </w:t>
      </w:r>
      <w:r>
        <w:rPr>
          <w:rFonts w:ascii="Times New Roman" w:hAnsi="Times New Roman"/>
          <w:color w:val="000000"/>
          <w:sz w:val="20"/>
          <w:u w:val="single"/>
        </w:rPr>
        <w:t>(f)(i)-(v)</w:t>
      </w:r>
      <w:r>
        <w:rPr>
          <w:rFonts w:ascii="Times New Roman" w:hAnsi="Times New Roman"/>
          <w:color w:val="000000"/>
          <w:sz w:val="20"/>
        </w:rPr>
        <w:t xml:space="preserve"> (only with respect to the Company) and </w:t>
      </w:r>
      <w:r>
        <w:rPr>
          <w:rFonts w:ascii="Times New Roman" w:hAnsi="Times New Roman"/>
          <w:color w:val="000000"/>
          <w:sz w:val="20"/>
          <w:u w:val="single"/>
        </w:rPr>
        <w:t>(f)(vii)</w:t>
      </w:r>
      <w:r>
        <w:rPr>
          <w:rFonts w:ascii="Times New Roman" w:hAnsi="Times New Roman"/>
          <w:color w:val="000000"/>
          <w:sz w:val="20"/>
        </w:rPr>
        <w:t xml:space="preserve"> (only with respect to the Company)) (</w:t>
      </w:r>
      <w:r>
        <w:rPr>
          <w:rFonts w:ascii="Times New Roman" w:hAnsi="Times New Roman"/>
          <w:i/>
          <w:color w:val="000000"/>
          <w:sz w:val="20"/>
        </w:rPr>
        <w:t>Capital Stock</w:t>
      </w:r>
      <w:r>
        <w:rPr>
          <w:rFonts w:ascii="Times New Roman" w:hAnsi="Times New Roman"/>
          <w:color w:val="000000"/>
          <w:sz w:val="20"/>
        </w:rPr>
        <w:t xml:space="preserve">), </w:t>
      </w:r>
      <w:r>
        <w:rPr>
          <w:rFonts w:ascii="Times New Roman" w:hAnsi="Times New Roman"/>
          <w:color w:val="000000"/>
          <w:sz w:val="20"/>
          <w:u w:val="single"/>
        </w:rPr>
        <w:t>Section 3.4(a)</w:t>
      </w:r>
      <w:r>
        <w:rPr>
          <w:rFonts w:ascii="Times New Roman" w:hAnsi="Times New Roman"/>
          <w:color w:val="000000"/>
          <w:sz w:val="20"/>
        </w:rPr>
        <w:t xml:space="preserve"> (</w:t>
      </w:r>
      <w:r>
        <w:rPr>
          <w:rFonts w:ascii="Times New Roman" w:hAnsi="Times New Roman"/>
          <w:i/>
          <w:color w:val="000000"/>
          <w:sz w:val="20"/>
        </w:rPr>
        <w:t>No Breach</w:t>
      </w:r>
      <w:r>
        <w:rPr>
          <w:rFonts w:ascii="Times New Roman" w:hAnsi="Times New Roman"/>
          <w:color w:val="000000"/>
          <w:sz w:val="20"/>
        </w:rPr>
        <w:t xml:space="preserve">), </w:t>
      </w:r>
      <w:r>
        <w:rPr>
          <w:rFonts w:ascii="Times New Roman" w:hAnsi="Times New Roman"/>
          <w:color w:val="000000"/>
          <w:sz w:val="20"/>
          <w:u w:val="single"/>
        </w:rPr>
        <w:t>Section 3.21</w:t>
      </w:r>
      <w:r>
        <w:rPr>
          <w:rFonts w:ascii="Times New Roman" w:hAnsi="Times New Roman"/>
          <w:color w:val="000000"/>
          <w:sz w:val="20"/>
        </w:rPr>
        <w:t xml:space="preserve"> (</w:t>
      </w:r>
      <w:r>
        <w:rPr>
          <w:rFonts w:ascii="Times New Roman" w:hAnsi="Times New Roman"/>
          <w:i/>
          <w:color w:val="000000"/>
          <w:sz w:val="20"/>
        </w:rPr>
        <w:t>Brokerage</w:t>
      </w:r>
      <w:r>
        <w:rPr>
          <w:rFonts w:ascii="Times New Roman" w:hAnsi="Times New Roman"/>
          <w:color w:val="000000"/>
          <w:sz w:val="20"/>
        </w:rPr>
        <w:t xml:space="preserve">) and </w:t>
      </w:r>
      <w:r>
        <w:rPr>
          <w:rFonts w:ascii="Times New Roman" w:hAnsi="Times New Roman"/>
          <w:color w:val="000000"/>
          <w:sz w:val="20"/>
          <w:u w:val="single"/>
        </w:rPr>
        <w:t>Section 3.23</w:t>
      </w:r>
      <w:r>
        <w:rPr>
          <w:rFonts w:ascii="Times New Roman" w:hAnsi="Times New Roman"/>
          <w:color w:val="000000"/>
          <w:sz w:val="20"/>
        </w:rPr>
        <w:t xml:space="preserve"> (</w:t>
      </w:r>
      <w:r>
        <w:rPr>
          <w:rFonts w:ascii="Times New Roman" w:hAnsi="Times New Roman"/>
          <w:i/>
          <w:color w:val="000000"/>
          <w:sz w:val="20"/>
        </w:rPr>
        <w:t>Opinion</w:t>
      </w:r>
      <w:r>
        <w:rPr>
          <w:rFonts w:ascii="Times New Roman" w:hAnsi="Times New Roman"/>
          <w:color w:val="000000"/>
          <w:sz w:val="20"/>
        </w:rPr>
        <w:t xml:space="preserve">) that (x) are not made as of an earlier date, shall be true and correct in all material respects as of the Closing Date, as though made on and as of the Closing Date and (y) are made as of an earlier date, shall be true and correct in all material respects as of such date, and (v) the representations set forth in </w:t>
      </w:r>
      <w:r>
        <w:rPr>
          <w:rFonts w:ascii="Times New Roman" w:hAnsi="Times New Roman"/>
          <w:color w:val="000000"/>
          <w:sz w:val="20"/>
          <w:u w:val="single"/>
        </w:rPr>
        <w:t>Section 3.3(a)</w:t>
      </w:r>
      <w:r>
        <w:rPr>
          <w:rFonts w:ascii="Times New Roman" w:hAnsi="Times New Roman"/>
          <w:color w:val="000000"/>
          <w:sz w:val="20"/>
        </w:rPr>
        <w:t xml:space="preserve">, </w:t>
      </w:r>
      <w:r>
        <w:rPr>
          <w:rFonts w:ascii="Times New Roman" w:hAnsi="Times New Roman"/>
          <w:color w:val="000000"/>
          <w:sz w:val="20"/>
          <w:u w:val="single"/>
        </w:rPr>
        <w:t>(b)(iv)</w:t>
      </w:r>
      <w:r>
        <w:rPr>
          <w:rFonts w:ascii="Times New Roman" w:hAnsi="Times New Roman"/>
          <w:color w:val="000000"/>
          <w:sz w:val="20"/>
        </w:rPr>
        <w:t xml:space="preserve">  (only with respect to the Company), </w:t>
      </w:r>
      <w:r>
        <w:rPr>
          <w:rFonts w:ascii="Times New Roman" w:hAnsi="Times New Roman"/>
          <w:color w:val="000000"/>
          <w:sz w:val="20"/>
          <w:u w:val="single"/>
        </w:rPr>
        <w:t>(f)(i)-(v)</w:t>
      </w:r>
      <w:r>
        <w:rPr>
          <w:rFonts w:ascii="Times New Roman" w:hAnsi="Times New Roman"/>
          <w:color w:val="000000"/>
          <w:sz w:val="20"/>
        </w:rPr>
        <w:t xml:space="preserve"> (only with respect to the Company) and </w:t>
      </w:r>
      <w:r>
        <w:rPr>
          <w:rFonts w:ascii="Times New Roman" w:hAnsi="Times New Roman"/>
          <w:color w:val="000000"/>
          <w:sz w:val="20"/>
          <w:u w:val="single"/>
        </w:rPr>
        <w:t>(f)(vii)</w:t>
      </w:r>
      <w:r>
        <w:rPr>
          <w:rFonts w:ascii="Times New Roman" w:hAnsi="Times New Roman"/>
          <w:color w:val="000000"/>
          <w:sz w:val="20"/>
        </w:rPr>
        <w:t xml:space="preserve"> (only with respect to the Company) shall be true and correct in all respects, except for any </w:t>
      </w:r>
      <w:r>
        <w:rPr>
          <w:rFonts w:ascii="Times New Roman" w:hAnsi="Times New Roman"/>
          <w:i/>
          <w:color w:val="000000"/>
          <w:sz w:val="20"/>
        </w:rPr>
        <w:t>de minimis</w:t>
      </w:r>
      <w:r>
        <w:rPr>
          <w:rFonts w:ascii="Times New Roman" w:hAnsi="Times New Roman"/>
          <w:color w:val="000000"/>
          <w:sz w:val="20"/>
        </w:rPr>
        <w:t xml:space="preserve"> inaccuracies, as of the Closing Date as though made on and as of such date and time (except to the extent that any such representation and warranty expressly speaks as of an earlier date, in which case such representation and warranty shall be true and correct, except for any </w:t>
      </w:r>
      <w:r>
        <w:rPr>
          <w:rFonts w:ascii="Times New Roman" w:hAnsi="Times New Roman"/>
          <w:i/>
          <w:color w:val="000000"/>
          <w:sz w:val="20"/>
        </w:rPr>
        <w:t>de minimis</w:t>
      </w:r>
      <w:r>
        <w:rPr>
          <w:rFonts w:ascii="Times New Roman" w:hAnsi="Times New Roman"/>
          <w:color w:val="000000"/>
          <w:sz w:val="20"/>
        </w:rPr>
        <w:t xml:space="preserve"> inaccuracies, as of such earlier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shall have complied with or performed in all material respects the covenants and agreements it is required to comply with or perform at or prior to the Closing Date (or any failure to comply or perform shall have been cured by such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Since the date of this Agreement, there has not occurred any change, event, occurrence or effect that has had a Company Material Adverse Effect that is continuing.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Parent and Merger Sub shall have received a certificate dated as of the Closing Date signed on behalf of the Company by a senior executive officer of the Company in his or her capacity as such an officer to the effect that the conditions set forth in </w:t>
      </w:r>
      <w:r>
        <w:rPr>
          <w:rFonts w:ascii="Times New Roman" w:hAnsi="Times New Roman"/>
          <w:color w:val="000000"/>
          <w:sz w:val="20"/>
          <w:u w:val="single"/>
        </w:rPr>
        <w:t>Section 6.2(a)</w:t>
      </w:r>
      <w:r>
        <w:rPr>
          <w:rFonts w:ascii="Times New Roman" w:hAnsi="Times New Roman"/>
          <w:color w:val="000000"/>
          <w:sz w:val="20"/>
        </w:rPr>
        <w:t xml:space="preserve">, </w:t>
      </w:r>
      <w:r>
        <w:rPr>
          <w:rFonts w:ascii="Times New Roman" w:hAnsi="Times New Roman"/>
          <w:color w:val="000000"/>
          <w:sz w:val="20"/>
          <w:u w:val="single"/>
        </w:rPr>
        <w:t>Section 6.2(b)</w:t>
      </w:r>
      <w:r>
        <w:rPr>
          <w:rFonts w:ascii="Times New Roman" w:hAnsi="Times New Roman"/>
          <w:color w:val="000000"/>
          <w:sz w:val="20"/>
        </w:rPr>
        <w:t xml:space="preserve"> and </w:t>
      </w:r>
      <w:r>
        <w:rPr>
          <w:rFonts w:ascii="Times New Roman" w:hAnsi="Times New Roman"/>
          <w:color w:val="000000"/>
          <w:sz w:val="20"/>
          <w:u w:val="single"/>
        </w:rPr>
        <w:t>Section 6.2(c)</w:t>
      </w:r>
      <w:r>
        <w:rPr>
          <w:rFonts w:ascii="Times New Roman" w:hAnsi="Times New Roman"/>
          <w:color w:val="000000"/>
          <w:sz w:val="20"/>
        </w:rPr>
        <w:t xml:space="preserve"> have been satisfied.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No suit, action or proceeding by a Governmental Body of competent jurisdiction is pending in connection with the Contemplated Transactions (i) seeking to prohibit or impose any material limitations on Parent’s or Merger Sub’s ownership or operation (or that of any of their respective Subsidiaries or Affiliates) of all or any material portion of their or the Company’s or any Company Subsidiary’s businesses or assets, taken as a whole, or to compel Parent or Merger Sub or their respective Subsidiaries or Affiliates to dispose of or hold separate any material portion of the business or assets of the Company or Parent or their respective Subsidiaries, (ii) seeking to prohibit or make illegal the consummation of the Merger or the other Contemplated Transactions, (iii) seeking to impose material limitations on the ability of Merger Sub or Parent effectively to exercise full rights of ownership of the Shares or (iv) seeking to require divestiture by Parent or any of its Subsidiaries or Affiliates of any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6.3.        </w:t>
      </w:r>
      <w:r>
        <w:rPr>
          <w:rFonts w:ascii="Times New Roman" w:hAnsi="Times New Roman"/>
          <w:color w:val="000000"/>
          <w:sz w:val="20"/>
          <w:u w:val="single"/>
        </w:rPr>
        <w:t>Conditions to Obligation of Company to Effect the Merger</w:t>
      </w:r>
      <w:r>
        <w:rPr>
          <w:rFonts w:ascii="Times New Roman" w:hAnsi="Times New Roman"/>
          <w:color w:val="000000"/>
          <w:sz w:val="20"/>
        </w:rPr>
        <w:t>. The obligations of Company to effect the Merger are subject to the satisfaction or waiver in writing (where permissible) at or prior to the Effective Time of each of the following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Each of the representations and warranties of Parent and Merger Sub contained in this Agreement that (x) are not made as of an earlier date, shall be true and correct as of the Closing Date, as though made on and as of the Closing Date and (y) are made as of an earlier date, shall be true and correct as of such date, except, in the case of (x) or (y), where the failure of such representations and warranties to be true and correct (without giving effect to any limitation as to “materiality” or “Parent Material Adverse Effect”) has not had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Parent and Merger Sub shall have complied with or performed in all material respects the covenants and agreements they are required to comply with or perform at or prior to the Closing Date (or any failure to comply or perform shall have been cured by such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Parent shall have delivered to the Company a certificate, dated the Closing Date and signed on its behalf by an officer of Parent, certifying to the effect that the conditions set forth in </w:t>
      </w:r>
      <w:r>
        <w:rPr>
          <w:rFonts w:ascii="Times New Roman" w:hAnsi="Times New Roman"/>
          <w:color w:val="000000"/>
          <w:sz w:val="20"/>
          <w:u w:val="single"/>
        </w:rPr>
        <w:t>Section 6.3(a)</w:t>
      </w:r>
      <w:r>
        <w:rPr>
          <w:rFonts w:ascii="Times New Roman" w:hAnsi="Times New Roman"/>
          <w:color w:val="000000"/>
          <w:sz w:val="20"/>
        </w:rPr>
        <w:t xml:space="preserve"> and </w:t>
      </w:r>
      <w:r>
        <w:rPr>
          <w:rFonts w:ascii="Times New Roman" w:hAnsi="Times New Roman"/>
          <w:color w:val="000000"/>
          <w:sz w:val="20"/>
          <w:u w:val="single"/>
        </w:rPr>
        <w:t>Section 6.3(b)</w:t>
      </w:r>
      <w:r>
        <w:rPr>
          <w:rFonts w:ascii="Times New Roman" w:hAnsi="Times New Roman"/>
          <w:color w:val="000000"/>
          <w:sz w:val="20"/>
        </w:rPr>
        <w:t xml:space="preserve"> have been satisfied.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TERMINATION, AMENDMENT AND WAIVER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7.1.       </w:t>
      </w:r>
      <w:r>
        <w:rPr>
          <w:rFonts w:ascii="Times New Roman" w:hAnsi="Times New Roman"/>
          <w:color w:val="000000"/>
          <w:sz w:val="20"/>
          <w:u w:val="single"/>
        </w:rPr>
        <w:t>Termination by Mutual Agreement</w:t>
      </w:r>
      <w:r>
        <w:rPr>
          <w:rFonts w:ascii="Times New Roman" w:hAnsi="Times New Roman"/>
          <w:color w:val="000000"/>
          <w:sz w:val="20"/>
        </w:rPr>
        <w:t>. This Agreement may be terminated, and the Merger may be abandoned, at any time prior to the Effective Time, by mutual written consent of Parent and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7.2.         </w:t>
      </w:r>
      <w:r>
        <w:rPr>
          <w:rFonts w:ascii="Times New Roman" w:hAnsi="Times New Roman"/>
          <w:color w:val="000000"/>
          <w:sz w:val="20"/>
          <w:u w:val="single"/>
        </w:rPr>
        <w:t>Termination by Either Parent or the Company</w:t>
      </w:r>
      <w:r>
        <w:rPr>
          <w:rFonts w:ascii="Times New Roman" w:hAnsi="Times New Roman"/>
          <w:color w:val="000000"/>
          <w:sz w:val="20"/>
        </w:rPr>
        <w:t>. This Agreement may be terminated, and the Merger may be abandoned, at any time prior to the Effective Time, by Parent or the Company if: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any court or other Governmental Body of competent jurisdiction has issued an order, decree or ruling, or taken any other action permanently restraining, enjoining, or otherwise prohibiting the Merger, and such order, decree, ruling or other action has become final and non-appealable;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terms of this </w:t>
      </w:r>
      <w:r>
        <w:rPr>
          <w:rFonts w:ascii="Times New Roman" w:hAnsi="Times New Roman"/>
          <w:color w:val="000000"/>
          <w:sz w:val="20"/>
          <w:u w:val="single"/>
        </w:rPr>
        <w:t>Section 7.2</w:t>
      </w:r>
      <w:r>
        <w:rPr>
          <w:rFonts w:ascii="Times New Roman" w:hAnsi="Times New Roman"/>
          <w:color w:val="000000"/>
          <w:sz w:val="20"/>
        </w:rPr>
        <w:t xml:space="preserve"> are not available to any party if the issuance of such order, decree, ruling or other action is primarily attributable to the failure on the part of such party to comply with its obligations under this Agreement in any material respect, including </w:t>
      </w:r>
      <w:r>
        <w:rPr>
          <w:rFonts w:ascii="Times New Roman" w:hAnsi="Times New Roman"/>
          <w:color w:val="000000"/>
          <w:sz w:val="20"/>
          <w:u w:val="single"/>
        </w:rPr>
        <w:t>Section 5.7</w:t>
      </w:r>
      <w:r>
        <w:rPr>
          <w:rFonts w:ascii="Times New Roman" w:hAnsi="Times New Roman"/>
          <w:color w:val="000000"/>
          <w:sz w:val="20"/>
        </w:rPr>
        <w:t>; 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Effective Time has not occurred on or prior to the date that is six (6) months after the date of this Agreement (the “</w:t>
      </w:r>
      <w:r>
        <w:rPr>
          <w:rFonts w:ascii="Times New Roman" w:hAnsi="Times New Roman"/>
          <w:color w:val="000000"/>
          <w:sz w:val="20"/>
          <w:u w:val="single"/>
        </w:rPr>
        <w:t>Outside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as of such date, any condition set forth in </w:t>
      </w:r>
      <w:r>
        <w:rPr>
          <w:rFonts w:ascii="Times New Roman" w:hAnsi="Times New Roman"/>
          <w:color w:val="000000"/>
          <w:sz w:val="20"/>
          <w:u w:val="single"/>
        </w:rPr>
        <w:t>Section 6.1(b)</w:t>
      </w:r>
      <w:r>
        <w:rPr>
          <w:rFonts w:ascii="Times New Roman" w:hAnsi="Times New Roman"/>
          <w:color w:val="000000"/>
          <w:sz w:val="20"/>
        </w:rPr>
        <w:t xml:space="preserve"> or </w:t>
      </w:r>
      <w:r>
        <w:rPr>
          <w:rFonts w:ascii="Times New Roman" w:hAnsi="Times New Roman"/>
          <w:color w:val="000000"/>
          <w:sz w:val="20"/>
          <w:u w:val="single"/>
        </w:rPr>
        <w:t>Section 6.1(c)</w:t>
      </w:r>
      <w:r>
        <w:rPr>
          <w:rFonts w:ascii="Times New Roman" w:hAnsi="Times New Roman"/>
          <w:color w:val="000000"/>
          <w:sz w:val="20"/>
        </w:rPr>
        <w:t xml:space="preserve"> (solely to the extent that such Law or Governmental Order arises under the HSR Act or any Antitrust and FDI Laws) is not satisfied, then the Outside Date will automatically be extended until the date that is nine (9) months after the date of this Agreement (and such date will then be the Outside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this termination right is not available to any party if the failure of the Effective Time to occur prior to the Outside Date is primarily attributable to the failure on the part of such party to comply in any material respect with its obligations under this Agreement, including </w:t>
      </w:r>
      <w:r>
        <w:rPr>
          <w:rFonts w:ascii="Times New Roman" w:hAnsi="Times New Roman"/>
          <w:color w:val="000000"/>
          <w:sz w:val="20"/>
          <w:u w:val="single"/>
        </w:rPr>
        <w:t>Section 5.7</w:t>
      </w:r>
      <w:r>
        <w:rPr>
          <w:rFonts w:ascii="Times New Roman" w:hAnsi="Times New Roman"/>
          <w:color w:val="000000"/>
          <w:sz w:val="20"/>
        </w:rPr>
        <w:t>;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Company Stockholder Approval shall not have been obtained at a duly convened Company Stockholder Meeting (as such meeting may be adjourned or postponed) at which the vote was taken in respect of this Agreement and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7.3.     </w:t>
      </w:r>
      <w:r>
        <w:rPr>
          <w:rFonts w:ascii="Times New Roman" w:hAnsi="Times New Roman"/>
          <w:color w:val="000000"/>
          <w:sz w:val="20"/>
          <w:u w:val="single"/>
        </w:rPr>
        <w:t>Termination by the Company</w:t>
      </w:r>
      <w:r>
        <w:rPr>
          <w:rFonts w:ascii="Times New Roman" w:hAnsi="Times New Roman"/>
          <w:color w:val="000000"/>
          <w:sz w:val="20"/>
        </w:rPr>
        <w:t>. This Agreement may be terminated, and the Merger may be abandoned, by the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at any time prior to the Effective Time, if there has been a breach of any covenant or agreement made by Parent or Merger Sub in this Agreement, or any representation or warranty of Parent or Merger Sub is inaccurate or becomes inaccurate after the date of this Agreement, and such breach or inaccuracy would give rise to a Parent Material Adverse Effect, and such breach or inaccuracy is not capable of being cured within thirty (30) days following receipt by Parent or Merger Sub of written notice of such breach or inaccuracy or, if such breach or inaccuracy is capable of being cured within such period, it has not been cured within such period;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at any time prior to the receipt of the Company Stockholder Approval, in order to enter into an Alternative Acquisition Agreement with respect to a Superior Proposal in accordance with </w:t>
      </w:r>
      <w:r>
        <w:rPr>
          <w:rFonts w:ascii="Times New Roman" w:hAnsi="Times New Roman"/>
          <w:color w:val="000000"/>
          <w:sz w:val="20"/>
          <w:u w:val="single"/>
        </w:rPr>
        <w:t>Section 5.3(e)(i)</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substantially currently with, and as a condition to the effectiveness of, such termination, the Company enters into an Alternative Acquisition Agreement in respect of such Superior Proposal and pays (or causes to be paid) the termination fee due pursuant to </w:t>
      </w:r>
      <w:r>
        <w:rPr>
          <w:rFonts w:ascii="Times New Roman" w:hAnsi="Times New Roman"/>
          <w:color w:val="000000"/>
          <w:sz w:val="20"/>
          <w:u w:val="single"/>
        </w:rPr>
        <w:t>Section 7.5(b)</w:t>
      </w:r>
      <w:r>
        <w:rPr>
          <w:rFonts w:ascii="Times New Roman" w:hAnsi="Times New Roman"/>
          <w:color w:val="000000"/>
          <w:sz w:val="20"/>
        </w:rPr>
        <w:t xml:space="preserve"> in accordance with the terms of </w:t>
      </w:r>
      <w:r>
        <w:rPr>
          <w:rFonts w:ascii="Times New Roman" w:hAnsi="Times New Roman"/>
          <w:color w:val="000000"/>
          <w:sz w:val="20"/>
          <w:u w:val="single"/>
        </w:rPr>
        <w:t>Section 7.5(b)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7.4.        </w:t>
      </w:r>
      <w:r>
        <w:rPr>
          <w:rFonts w:ascii="Times New Roman" w:hAnsi="Times New Roman"/>
          <w:color w:val="000000"/>
          <w:sz w:val="20"/>
          <w:u w:val="single"/>
        </w:rPr>
        <w:t>Termination by Parent</w:t>
      </w:r>
      <w:r>
        <w:rPr>
          <w:rFonts w:ascii="Times New Roman" w:hAnsi="Times New Roman"/>
          <w:color w:val="000000"/>
          <w:sz w:val="20"/>
        </w:rPr>
        <w:t>. This Agreement may be terminated, and the Merger may be abandoned, by Parent if: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at any time prior to the Effective Time, there has been a breach of any covenant or agreement made by the Company in this Agreement or any representation or warranty of the Company is inaccurate or becomes inaccurate after the date of this Agreement, and such breach or inaccuracy would give rise to the failure of a condition set forth in </w:t>
      </w:r>
      <w:r>
        <w:rPr>
          <w:rFonts w:ascii="Times New Roman" w:hAnsi="Times New Roman"/>
          <w:color w:val="000000"/>
          <w:sz w:val="20"/>
          <w:u w:val="single"/>
        </w:rPr>
        <w:t>Section 6.2(a)</w:t>
      </w:r>
      <w:r>
        <w:rPr>
          <w:rFonts w:ascii="Times New Roman" w:hAnsi="Times New Roman"/>
          <w:color w:val="000000"/>
          <w:sz w:val="20"/>
        </w:rPr>
        <w:t xml:space="preserve"> or</w:t>
      </w:r>
      <w:r>
        <w:rPr>
          <w:rFonts w:ascii="Times New Roman" w:hAnsi="Times New Roman"/>
          <w:color w:val="000000"/>
          <w:sz w:val="20"/>
          <w:u w:val="single"/>
        </w:rPr>
        <w:t xml:space="preserve"> Section 6.2(b)</w:t>
      </w:r>
      <w:r>
        <w:rPr>
          <w:rFonts w:ascii="Times New Roman" w:hAnsi="Times New Roman"/>
          <w:color w:val="000000"/>
          <w:sz w:val="20"/>
        </w:rPr>
        <w:t>, and such breach or inaccuracy is not capable of being cured within thirty (30) days following receipt by the Company of written notice of such breach or inaccuracy or, if such breach or inaccuracy is capable of being cured within such period, it has not been cured within such period;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at any time prior to the receipt of the Company Stockholder Approval, if the Company Board or any committee thereof effects a Change of Board Recommendation.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7.5.        </w:t>
      </w:r>
      <w:r>
        <w:rPr>
          <w:rFonts w:ascii="Times New Roman" w:hAnsi="Times New Roman"/>
          <w:color w:val="000000"/>
          <w:sz w:val="20"/>
          <w:u w:val="single"/>
        </w:rPr>
        <w:t>Effect of Termination.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In the event of termination of this Agreement pursuant to this </w:t>
      </w:r>
      <w:r>
        <w:rPr>
          <w:rFonts w:ascii="Times New Roman" w:hAnsi="Times New Roman"/>
          <w:color w:val="000000"/>
          <w:sz w:val="20"/>
          <w:u w:val="single"/>
        </w:rPr>
        <w:t>Article VII</w:t>
      </w:r>
      <w:r>
        <w:rPr>
          <w:rFonts w:ascii="Times New Roman" w:hAnsi="Times New Roman"/>
          <w:color w:val="000000"/>
          <w:sz w:val="20"/>
        </w:rPr>
        <w:t xml:space="preserve">, written notice thereof shall be given to the other party or parties hereto, specifying the provision hereof pursuant to which such termination is made and this Agreement (other than </w:t>
      </w:r>
      <w:r>
        <w:rPr>
          <w:rFonts w:ascii="Times New Roman" w:hAnsi="Times New Roman"/>
          <w:color w:val="000000"/>
          <w:sz w:val="20"/>
          <w:u w:val="single"/>
        </w:rPr>
        <w:t>Section 5.2(b)</w:t>
      </w:r>
      <w:r>
        <w:rPr>
          <w:rFonts w:ascii="Times New Roman" w:hAnsi="Times New Roman"/>
          <w:color w:val="000000"/>
          <w:sz w:val="20"/>
        </w:rPr>
        <w:t xml:space="preserve">, </w:t>
      </w:r>
      <w:r>
        <w:rPr>
          <w:rFonts w:ascii="Times New Roman" w:hAnsi="Times New Roman"/>
          <w:color w:val="000000"/>
          <w:sz w:val="20"/>
          <w:u w:val="single"/>
        </w:rPr>
        <w:t>Section 7.5(d)</w:t>
      </w:r>
      <w:r>
        <w:rPr>
          <w:rFonts w:ascii="Times New Roman" w:hAnsi="Times New Roman"/>
          <w:color w:val="000000"/>
          <w:sz w:val="20"/>
        </w:rPr>
        <w:t xml:space="preserve">, </w:t>
      </w:r>
      <w:r>
        <w:rPr>
          <w:rFonts w:ascii="Times New Roman" w:hAnsi="Times New Roman"/>
          <w:color w:val="000000"/>
          <w:sz w:val="20"/>
          <w:u w:val="single"/>
        </w:rPr>
        <w:t>Article VII</w:t>
      </w:r>
      <w:r>
        <w:rPr>
          <w:rFonts w:ascii="Times New Roman" w:hAnsi="Times New Roman"/>
          <w:color w:val="000000"/>
          <w:sz w:val="20"/>
        </w:rPr>
        <w:t xml:space="preserve"> and </w:t>
      </w:r>
      <w:r>
        <w:rPr>
          <w:rFonts w:ascii="Times New Roman" w:hAnsi="Times New Roman"/>
          <w:color w:val="000000"/>
          <w:sz w:val="20"/>
          <w:u w:val="single"/>
        </w:rPr>
        <w:t>Article VIII</w:t>
      </w:r>
      <w:r>
        <w:rPr>
          <w:rFonts w:ascii="Times New Roman" w:hAnsi="Times New Roman"/>
          <w:color w:val="000000"/>
          <w:sz w:val="20"/>
        </w:rPr>
        <w:t xml:space="preserve">, each of which will survive any termination hereof) will become void and of no effect with no liability on the part of any party (or of any of its Representatives);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such termination will relieve any Person of any liability for damages resulting from material breach of this Agreement that is a consequence of an act or omission intentionally undertaken by the breaching party with the knowledge that such act or omission would result in a material breach of this Agreement (an “</w:t>
      </w:r>
      <w:r>
        <w:rPr>
          <w:rFonts w:ascii="Times New Roman" w:hAnsi="Times New Roman"/>
          <w:color w:val="000000"/>
          <w:sz w:val="20"/>
          <w:u w:val="single"/>
        </w:rPr>
        <w:t>Intentional Breach</w:t>
      </w:r>
      <w:r>
        <w:rPr>
          <w:rFonts w:ascii="Times New Roman" w:hAnsi="Times New Roman"/>
          <w:color w:val="000000"/>
          <w:sz w:val="20"/>
        </w:rPr>
        <w:t xml:space="preserve">”), including with respect to the making of a representation set forth herein, or would constitute fraud. For purposes of this </w:t>
      </w:r>
      <w:r>
        <w:rPr>
          <w:rFonts w:ascii="Times New Roman" w:hAnsi="Times New Roman"/>
          <w:color w:val="000000"/>
          <w:sz w:val="20"/>
          <w:u w:val="single"/>
        </w:rPr>
        <w:t>Section 7.5(a)</w:t>
      </w:r>
      <w:r>
        <w:rPr>
          <w:rFonts w:ascii="Times New Roman" w:hAnsi="Times New Roman"/>
          <w:color w:val="000000"/>
          <w:sz w:val="20"/>
        </w:rPr>
        <w:t>, “fraud” means actual (and not constructive, including claims based on recklessness) common law fraud under Delaware law with respect to the making of an express representation or warranty contained in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In the event that: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this Agreement is terminated by the Company pursuant to </w:t>
      </w:r>
      <w:r>
        <w:rPr>
          <w:rFonts w:ascii="Times New Roman" w:hAnsi="Times New Roman"/>
          <w:color w:val="000000"/>
          <w:sz w:val="20"/>
          <w:u w:val="single"/>
        </w:rPr>
        <w:t>Section 7.3(b)</w:t>
      </w:r>
      <w:r>
        <w:rPr>
          <w:rFonts w:ascii="Times New Roman" w:hAnsi="Times New Roman"/>
          <w:color w:val="000000"/>
          <w:sz w:val="20"/>
        </w:rPr>
        <w:t xml:space="preserve"> (</w:t>
      </w:r>
      <w:r>
        <w:rPr>
          <w:rFonts w:ascii="Times New Roman" w:hAnsi="Times New Roman"/>
          <w:i/>
          <w:color w:val="000000"/>
          <w:sz w:val="20"/>
        </w:rPr>
        <w:t>Superior Proposal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       this Agreement is terminated by Parent pursuant to </w:t>
      </w:r>
      <w:r>
        <w:rPr>
          <w:rFonts w:ascii="Times New Roman" w:hAnsi="Times New Roman"/>
          <w:color w:val="000000"/>
          <w:sz w:val="20"/>
          <w:u w:val="single"/>
        </w:rPr>
        <w:t>Section 7.4(b)</w:t>
      </w:r>
      <w:r>
        <w:rPr>
          <w:rFonts w:ascii="Times New Roman" w:hAnsi="Times New Roman"/>
          <w:color w:val="000000"/>
          <w:sz w:val="20"/>
        </w:rPr>
        <w:t xml:space="preserve"> (</w:t>
      </w:r>
      <w:r>
        <w:rPr>
          <w:rFonts w:ascii="Times New Roman" w:hAnsi="Times New Roman"/>
          <w:i/>
          <w:color w:val="000000"/>
          <w:sz w:val="20"/>
        </w:rPr>
        <w:t>Change of Board Recommendation</w:t>
      </w:r>
      <w:r>
        <w:rPr>
          <w:rFonts w:ascii="Times New Roman" w:hAnsi="Times New Roman"/>
          <w:color w:val="000000"/>
          <w:sz w:val="20"/>
        </w:rPr>
        <w:t>); 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(A) this Agreement is terminated (x) by either Parent or the Company pursuant to </w:t>
      </w:r>
      <w:r>
        <w:rPr>
          <w:rFonts w:ascii="Times New Roman" w:hAnsi="Times New Roman"/>
          <w:color w:val="000000"/>
          <w:sz w:val="20"/>
          <w:u w:val="single"/>
        </w:rPr>
        <w:t>Section 7.2(b)</w:t>
      </w:r>
      <w:r>
        <w:rPr>
          <w:rFonts w:ascii="Times New Roman" w:hAnsi="Times New Roman"/>
          <w:color w:val="000000"/>
          <w:sz w:val="20"/>
        </w:rPr>
        <w:t xml:space="preserve"> (</w:t>
      </w:r>
      <w:r>
        <w:rPr>
          <w:rFonts w:ascii="Times New Roman" w:hAnsi="Times New Roman"/>
          <w:i/>
          <w:color w:val="000000"/>
          <w:sz w:val="20"/>
        </w:rPr>
        <w:t>Outside Date</w:t>
      </w:r>
      <w:r>
        <w:rPr>
          <w:rFonts w:ascii="Times New Roman" w:hAnsi="Times New Roman"/>
          <w:color w:val="000000"/>
          <w:sz w:val="20"/>
        </w:rPr>
        <w:t xml:space="preserve">) (but in the case of a termination by the Company, only if at such time Parent would not be prohibited from terminating this Agreement pursuant to the second proviso in </w:t>
      </w:r>
      <w:r>
        <w:rPr>
          <w:rFonts w:ascii="Times New Roman" w:hAnsi="Times New Roman"/>
          <w:color w:val="000000"/>
          <w:sz w:val="20"/>
          <w:u w:val="single"/>
        </w:rPr>
        <w:t>Section 7.2(b)</w:t>
      </w:r>
      <w:r>
        <w:rPr>
          <w:rFonts w:ascii="Times New Roman" w:hAnsi="Times New Roman"/>
          <w:color w:val="000000"/>
          <w:sz w:val="20"/>
        </w:rPr>
        <w:t xml:space="preserve"> (</w:t>
      </w:r>
      <w:r>
        <w:rPr>
          <w:rFonts w:ascii="Times New Roman" w:hAnsi="Times New Roman"/>
          <w:i/>
          <w:color w:val="000000"/>
          <w:sz w:val="20"/>
        </w:rPr>
        <w:t>Outside Date</w:t>
      </w:r>
      <w:r>
        <w:rPr>
          <w:rFonts w:ascii="Times New Roman" w:hAnsi="Times New Roman"/>
          <w:color w:val="000000"/>
          <w:sz w:val="20"/>
        </w:rPr>
        <w:t>)), or (y) by Parent pursuant to</w:t>
      </w:r>
      <w:r>
        <w:rPr>
          <w:rFonts w:ascii="Times New Roman" w:hAnsi="Times New Roman"/>
          <w:color w:val="000000"/>
          <w:sz w:val="20"/>
          <w:u w:val="single"/>
        </w:rPr>
        <w:t xml:space="preserve"> (ii)</w:t>
      </w:r>
      <w:r>
        <w:rPr>
          <w:rFonts w:ascii="Times New Roman" w:hAnsi="Times New Roman"/>
          <w:color w:val="000000"/>
          <w:sz w:val="20"/>
        </w:rPr>
        <w:t xml:space="preserve"> (</w:t>
      </w:r>
      <w:r>
        <w:rPr>
          <w:rFonts w:ascii="Times New Roman" w:hAnsi="Times New Roman"/>
          <w:i/>
          <w:color w:val="000000"/>
          <w:sz w:val="20"/>
        </w:rPr>
        <w:t>Material Breach</w:t>
      </w:r>
      <w:r>
        <w:rPr>
          <w:rFonts w:ascii="Times New Roman" w:hAnsi="Times New Roman"/>
          <w:color w:val="000000"/>
          <w:sz w:val="20"/>
        </w:rPr>
        <w:t xml:space="preserve">), (B) any Person has communicated to the Company Board or publicly disclosed an Acquisition Proposal (which has not been irrevocably and publicly withdrawn at least three (3) days (1) prior to the Outside Date in the case of </w:t>
      </w:r>
      <w:r>
        <w:rPr>
          <w:rFonts w:ascii="Times New Roman" w:hAnsi="Times New Roman"/>
          <w:color w:val="000000"/>
          <w:sz w:val="20"/>
          <w:u w:val="single"/>
        </w:rPr>
        <w:t>Section 7.5(b)(iii)(A)(x)</w:t>
      </w:r>
      <w:r>
        <w:rPr>
          <w:rFonts w:ascii="Times New Roman" w:hAnsi="Times New Roman"/>
          <w:color w:val="000000"/>
          <w:sz w:val="20"/>
        </w:rPr>
        <w:t xml:space="preserve">, or (2) prior to the date of such material breach in the case of </w:t>
      </w:r>
      <w:r>
        <w:rPr>
          <w:rFonts w:ascii="Times New Roman" w:hAnsi="Times New Roman"/>
          <w:color w:val="000000"/>
          <w:sz w:val="20"/>
          <w:u w:val="single"/>
        </w:rPr>
        <w:t>Section 7.5(b)(iii)(A)(y)</w:t>
      </w:r>
      <w:r>
        <w:rPr>
          <w:rFonts w:ascii="Times New Roman" w:hAnsi="Times New Roman"/>
          <w:color w:val="000000"/>
          <w:sz w:val="20"/>
        </w:rPr>
        <w:t>) after the date of this Agreement and prior to such termination and (C) within twelve (12) months after such termination, the Company enters into an Alternative Acquisition Agreement with respect to an Acquisition Proposal or an Acquisition Proposal is consummated (</w:t>
      </w:r>
      <w:r>
        <w:rPr>
          <w:rFonts w:ascii="Times New Roman" w:hAnsi="Times New Roman"/>
          <w:color w:val="000000"/>
          <w:sz w:val="20"/>
          <w:u w:val="single"/>
        </w:rPr>
        <w:t>provided</w:t>
      </w:r>
      <w:r>
        <w:rPr>
          <w:rFonts w:ascii="Times New Roman" w:hAnsi="Times New Roman"/>
          <w:color w:val="000000"/>
          <w:sz w:val="20"/>
        </w:rPr>
        <w:t xml:space="preserve"> that, for purposes of clause (C) of this </w:t>
      </w:r>
      <w:r>
        <w:rPr>
          <w:rFonts w:ascii="Times New Roman" w:hAnsi="Times New Roman"/>
          <w:color w:val="000000"/>
          <w:sz w:val="20"/>
          <w:u w:val="single"/>
        </w:rPr>
        <w:t>Section 7.5(b)(iii)</w:t>
      </w:r>
      <w:r>
        <w:rPr>
          <w:rFonts w:ascii="Times New Roman" w:hAnsi="Times New Roman"/>
          <w:color w:val="000000"/>
          <w:sz w:val="20"/>
        </w:rPr>
        <w:t xml:space="preserve">, references to “20%” in the definition of Acquisition Proposal will be substituted with “50%”); </w:t>
      </w:r>
    </w:p>
    <w:p>
      <w:pPr>
        <w:pStyle w:val="TextBody"/>
        <w:bidi w:val="0"/>
        <w:spacing w:before="0" w:after="0"/>
        <w:ind w:left="0" w:right="0" w:firstLine="216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then, in any such case, the Company shall pay (or cause to be paid to) Parent a termination fee of $104,300,000, by wire transfer of immediately available funds to the account or accounts designated by Parent. Any payment required to be made (1) pursuant to clause (i) of this </w:t>
      </w:r>
      <w:r>
        <w:rPr>
          <w:rFonts w:ascii="Times New Roman" w:hAnsi="Times New Roman"/>
          <w:color w:val="000000"/>
          <w:sz w:val="20"/>
          <w:u w:val="single"/>
        </w:rPr>
        <w:t>Section 7.5(b)</w:t>
      </w:r>
      <w:r>
        <w:rPr>
          <w:rFonts w:ascii="Times New Roman" w:hAnsi="Times New Roman"/>
          <w:color w:val="000000"/>
          <w:sz w:val="20"/>
        </w:rPr>
        <w:t xml:space="preserve"> will be paid concurrently with such termination, (2) pursuant to clause (ii) of this </w:t>
      </w:r>
      <w:r>
        <w:rPr>
          <w:rFonts w:ascii="Times New Roman" w:hAnsi="Times New Roman"/>
          <w:color w:val="000000"/>
          <w:sz w:val="20"/>
          <w:u w:val="single"/>
        </w:rPr>
        <w:t>Section 7.5(b)</w:t>
      </w:r>
      <w:r>
        <w:rPr>
          <w:rFonts w:ascii="Times New Roman" w:hAnsi="Times New Roman"/>
          <w:color w:val="000000"/>
          <w:sz w:val="20"/>
        </w:rPr>
        <w:t xml:space="preserve"> will be paid no later than two (2) Business Days after such termination and (3) pursuant to clause (iii) of this </w:t>
      </w:r>
      <w:r>
        <w:rPr>
          <w:rFonts w:ascii="Times New Roman" w:hAnsi="Times New Roman"/>
          <w:color w:val="000000"/>
          <w:sz w:val="20"/>
          <w:u w:val="single"/>
        </w:rPr>
        <w:t>Section 7.5(b)</w:t>
      </w:r>
      <w:r>
        <w:rPr>
          <w:rFonts w:ascii="Times New Roman" w:hAnsi="Times New Roman"/>
          <w:color w:val="000000"/>
          <w:sz w:val="20"/>
        </w:rPr>
        <w:t xml:space="preserve"> will be payable to Parent upon entry into an Alternative Acquisition Agreement (or the earlier consummation of an Acquisition Proposal). The Company will not be required to pay the termination fee pursuant to this </w:t>
      </w:r>
      <w:r>
        <w:rPr>
          <w:rFonts w:ascii="Times New Roman" w:hAnsi="Times New Roman"/>
          <w:color w:val="000000"/>
          <w:sz w:val="20"/>
          <w:u w:val="single"/>
        </w:rPr>
        <w:t>Section 7.5(b)</w:t>
      </w:r>
      <w:r>
        <w:rPr>
          <w:rFonts w:ascii="Times New Roman" w:hAnsi="Times New Roman"/>
          <w:color w:val="000000"/>
          <w:sz w:val="20"/>
        </w:rPr>
        <w:t xml:space="preserve"> more than once.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In the event the termination fee payable pursuant to </w:t>
      </w:r>
      <w:r>
        <w:rPr>
          <w:rFonts w:ascii="Times New Roman" w:hAnsi="Times New Roman"/>
          <w:color w:val="000000"/>
          <w:sz w:val="20"/>
          <w:u w:val="single"/>
        </w:rPr>
        <w:t>Section 7.5(b)</w:t>
      </w:r>
      <w:r>
        <w:rPr>
          <w:rFonts w:ascii="Times New Roman" w:hAnsi="Times New Roman"/>
          <w:color w:val="000000"/>
          <w:sz w:val="20"/>
        </w:rPr>
        <w:t xml:space="preserve"> is payable and paid to Parent in accordance with </w:t>
      </w:r>
      <w:r>
        <w:rPr>
          <w:rFonts w:ascii="Times New Roman" w:hAnsi="Times New Roman"/>
          <w:color w:val="000000"/>
          <w:sz w:val="20"/>
          <w:u w:val="single"/>
        </w:rPr>
        <w:t>Section 7.5(b)</w:t>
      </w:r>
      <w:r>
        <w:rPr>
          <w:rFonts w:ascii="Times New Roman" w:hAnsi="Times New Roman"/>
          <w:color w:val="000000"/>
          <w:sz w:val="20"/>
        </w:rPr>
        <w:t xml:space="preserve">, (i) Parent’s receipt of the termination fee together with any amounts to which Parent is entitled pursuant to </w:t>
      </w:r>
      <w:r>
        <w:rPr>
          <w:rFonts w:ascii="Times New Roman" w:hAnsi="Times New Roman"/>
          <w:color w:val="000000"/>
          <w:sz w:val="20"/>
          <w:u w:val="single"/>
        </w:rPr>
        <w:t>Section 7.5(d)</w:t>
      </w:r>
      <w:r>
        <w:rPr>
          <w:rFonts w:ascii="Times New Roman" w:hAnsi="Times New Roman"/>
          <w:color w:val="000000"/>
          <w:sz w:val="20"/>
        </w:rPr>
        <w:t xml:space="preserve"> shall be the sole and exclusive remedy of Parent and Merger Sub in respect of any breach of, or inaccuracy contained in, the Company’s covenants, agreements, representations or warranties in this Agreement and (ii) none of Parent, Merger Sub, any of their respective Affiliates or any other Person shall be entitled to bring or maintain any other claim, action or proceeding against the Company or any of its Affiliates or any Representative of the Company or any of its Affiliates arising out of this Agreement, any of the Contemplated Transactions or any matters forming the basis for such termination; </w:t>
      </w:r>
      <w:r>
        <w:rPr>
          <w:rFonts w:ascii="Times New Roman" w:hAnsi="Times New Roman"/>
          <w:color w:val="000000"/>
          <w:sz w:val="20"/>
          <w:u w:val="single"/>
        </w:rPr>
        <w:t>provided</w:t>
      </w:r>
      <w:r>
        <w:rPr>
          <w:rFonts w:ascii="Times New Roman" w:hAnsi="Times New Roman"/>
          <w:color w:val="000000"/>
          <w:sz w:val="20"/>
        </w:rPr>
        <w:t xml:space="preserve"> that nothing in this </w:t>
      </w:r>
      <w:r>
        <w:rPr>
          <w:rFonts w:ascii="Times New Roman" w:hAnsi="Times New Roman"/>
          <w:color w:val="000000"/>
          <w:sz w:val="20"/>
          <w:u w:val="single"/>
        </w:rPr>
        <w:t>Section 7.5(c)</w:t>
      </w:r>
      <w:r>
        <w:rPr>
          <w:rFonts w:ascii="Times New Roman" w:hAnsi="Times New Roman"/>
          <w:color w:val="000000"/>
          <w:sz w:val="20"/>
        </w:rPr>
        <w:t xml:space="preserve"> shall relieve the Company from liability for damages arising from an Intentional Breach of </w:t>
      </w:r>
      <w:r>
        <w:rPr>
          <w:rFonts w:ascii="Times New Roman" w:hAnsi="Times New Roman"/>
          <w:color w:val="000000"/>
          <w:sz w:val="20"/>
          <w:u w:val="single"/>
        </w:rPr>
        <w:t>Section 5.3</w:t>
      </w:r>
      <w:r>
        <w:rPr>
          <w:rFonts w:ascii="Times New Roman" w:hAnsi="Times New Roman"/>
          <w:color w:val="000000"/>
          <w:sz w:val="20"/>
        </w:rPr>
        <w:t xml:space="preserve"> or fraud as defined in </w:t>
      </w:r>
      <w:r>
        <w:rPr>
          <w:rFonts w:ascii="Times New Roman" w:hAnsi="Times New Roman"/>
          <w:color w:val="000000"/>
          <w:sz w:val="20"/>
          <w:u w:val="single"/>
        </w:rPr>
        <w:t>Section 7.5(a)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The Company acknowledges that the agreements contained in </w:t>
      </w:r>
      <w:r>
        <w:rPr>
          <w:rFonts w:ascii="Times New Roman" w:hAnsi="Times New Roman"/>
          <w:color w:val="000000"/>
          <w:sz w:val="20"/>
          <w:u w:val="single"/>
        </w:rPr>
        <w:t>Section 8.5(b)</w:t>
      </w:r>
      <w:r>
        <w:rPr>
          <w:rFonts w:ascii="Times New Roman" w:hAnsi="Times New Roman"/>
          <w:color w:val="000000"/>
          <w:sz w:val="20"/>
        </w:rPr>
        <w:t xml:space="preserve"> are an integral part of the Contemplated Transactions, and that, without these agreements, Parent and Merger Sub would not have entered into this Agreement. Accordingly, if the Company fails to promptly pay the amount due pursuant to </w:t>
      </w:r>
      <w:r>
        <w:rPr>
          <w:rFonts w:ascii="Times New Roman" w:hAnsi="Times New Roman"/>
          <w:color w:val="000000"/>
          <w:sz w:val="20"/>
          <w:u w:val="single"/>
        </w:rPr>
        <w:t>Section 8.5(b)</w:t>
      </w:r>
      <w:r>
        <w:rPr>
          <w:rFonts w:ascii="Times New Roman" w:hAnsi="Times New Roman"/>
          <w:color w:val="000000"/>
          <w:sz w:val="20"/>
        </w:rPr>
        <w:t xml:space="preserve"> when due and, in order to obtain such payment, Parent or Merger Sub commences a suit that results in a judgment against the Company for the amount set forth in </w:t>
      </w:r>
      <w:r>
        <w:rPr>
          <w:rFonts w:ascii="Times New Roman" w:hAnsi="Times New Roman"/>
          <w:color w:val="000000"/>
          <w:sz w:val="20"/>
          <w:u w:val="single"/>
        </w:rPr>
        <w:t>Section 8.5(b)</w:t>
      </w:r>
      <w:r>
        <w:rPr>
          <w:rFonts w:ascii="Times New Roman" w:hAnsi="Times New Roman"/>
          <w:color w:val="000000"/>
          <w:sz w:val="20"/>
        </w:rPr>
        <w:t>, the Company shall pay to Parent or Merger Sub its reasonable and documented costs and expenses (including reasonable and documented attorney’s fees) in connection with such suit together with interest on such amount at the prime rate as published in the Wall Street Journal in effect on the date such payment was required to be made through the date of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7.6.        </w:t>
      </w:r>
      <w:r>
        <w:rPr>
          <w:rFonts w:ascii="Times New Roman" w:hAnsi="Times New Roman"/>
          <w:color w:val="000000"/>
          <w:sz w:val="20"/>
          <w:u w:val="single"/>
        </w:rPr>
        <w:t>Expenses</w:t>
      </w:r>
      <w:r>
        <w:rPr>
          <w:rFonts w:ascii="Times New Roman" w:hAnsi="Times New Roman"/>
          <w:color w:val="000000"/>
          <w:sz w:val="20"/>
        </w:rPr>
        <w:t>. Except as otherwise specifically provided herein, each party shall bear its own expenses in connection with this Agreement and the Contemplated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7.7.       </w:t>
      </w:r>
      <w:r>
        <w:rPr>
          <w:rFonts w:ascii="Times New Roman" w:hAnsi="Times New Roman"/>
          <w:color w:val="000000"/>
          <w:sz w:val="20"/>
          <w:u w:val="single"/>
        </w:rPr>
        <w:t>Amendment and Waiver</w:t>
      </w:r>
      <w:r>
        <w:rPr>
          <w:rFonts w:ascii="Times New Roman" w:hAnsi="Times New Roman"/>
          <w:color w:val="000000"/>
          <w:sz w:val="20"/>
        </w:rPr>
        <w:t>. This Agreement may not be amended except by an instrument in writing signed by the parties hereto prior to the Effective Time. At any time prior to the Effective Time, the Company, on the one hand, and Parent and Merger Sub, on the other hand, may (a) extend the time for the performance of any of the obligations or other acts of the other, (b) waive any inaccuracies in the representations and warranties of the other contained herein or in any document delivered pursuant hereto and (c) subject to the requirements of applicable Law, waive compliance by the other with any of the agreements or conditions contained herein. Any such extension or waiver will be valid only if set forth in an instrument in writing signed by the party or parties to be bound thereby. The failure of any party to assert any rights or remedies will not constitute a waiver of such rights or remedies.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GENERAL PROVISIONS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8.1.    </w:t>
      </w:r>
      <w:r>
        <w:rPr>
          <w:rFonts w:ascii="Times New Roman" w:hAnsi="Times New Roman"/>
          <w:color w:val="000000"/>
          <w:sz w:val="20"/>
          <w:u w:val="single"/>
        </w:rPr>
        <w:t>Non-Survival of Representations, Warranties, Covenants and Agreements</w:t>
      </w:r>
      <w:r>
        <w:rPr>
          <w:rFonts w:ascii="Times New Roman" w:hAnsi="Times New Roman"/>
          <w:color w:val="000000"/>
          <w:sz w:val="20"/>
        </w:rPr>
        <w:t xml:space="preserve">. None of the representations, warranties, covenants and agreements in this Agreement or in any instrument delivered pursuant to this Agreement, including any rights arising out of any breach of such representations, warranties, covenants and agreements, will survive the Effective Time, except for (a) those covenants and agreements contained herein that by their terms apply or are to be performed in whole or in part after the Effective Time and (b) this </w:t>
      </w:r>
      <w:r>
        <w:rPr>
          <w:rFonts w:ascii="Times New Roman" w:hAnsi="Times New Roman"/>
          <w:color w:val="000000"/>
          <w:sz w:val="20"/>
          <w:u w:val="single"/>
        </w:rPr>
        <w:t>Article VIII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8.2.      </w:t>
      </w:r>
      <w:r>
        <w:rPr>
          <w:rFonts w:ascii="Times New Roman" w:hAnsi="Times New Roman"/>
          <w:color w:val="000000"/>
          <w:sz w:val="20"/>
          <w:u w:val="single"/>
        </w:rPr>
        <w:t>Notices</w:t>
      </w:r>
      <w:r>
        <w:rPr>
          <w:rFonts w:ascii="Times New Roman" w:hAnsi="Times New Roman"/>
          <w:color w:val="000000"/>
          <w:sz w:val="20"/>
        </w:rPr>
        <w:t xml:space="preserve">. All notices, requests, claims, demands and other communications hereunder must be in writing and must be given (and will be deemed to have been duly given): (a) when delivered, if delivered in Person, (b) when delivered by email, which email must state that it is being delivered pursuant to this </w:t>
      </w:r>
      <w:r>
        <w:rPr>
          <w:rFonts w:ascii="Times New Roman" w:hAnsi="Times New Roman"/>
          <w:color w:val="000000"/>
          <w:sz w:val="20"/>
          <w:u w:val="single"/>
        </w:rPr>
        <w:t>Section 8.2</w:t>
      </w:r>
      <w:r>
        <w:rPr>
          <w:rFonts w:ascii="Times New Roman" w:hAnsi="Times New Roman"/>
          <w:color w:val="000000"/>
          <w:sz w:val="20"/>
        </w:rPr>
        <w:t xml:space="preserve"> and which notice will not be effective unless either (A) a duplicate copy of such email notice is sent on the same day for next Business Day delivery, fees prepaid, via a reputable nationwide overnight courier service or (B) the receiving party delivers a written confirmation of receipt to the sender of such notice (excluding “out of office,” delivery failure or similar automated replies), (c) three (3) Business Days after sending, if sent by registered or certified mail (postage prepaid, return receipt requested), which notice will not be effective unless a duplicate copy is sent via email and (d) one Business Day after sending, if sent by overnight courier, which notice will not be effective unless a duplicate copy is sent via email, in each case, to the respective parties at the following addresses (or at such other address for a party as have been specified by like notice):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if to Parent or Merger Sub, to:</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Eli Lilly and Company</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Lilly Corporate Center</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Indianapolis, Indiana 46285</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Senior Vice President and Head of Corporate Business Development</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Eli Lilly and Company</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Lilly Corporate Center</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Indianapolis, Indiana 46285</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Senior Vice President - Transactions and Contracting</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with an additional copy (which will not constitute notice) to:</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Ropes &amp; Gray LLP</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800 Boylston Street, Prudential Tower</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Boston, MA 02199-3600</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Emily J. Oldshue; Michael D. Beauvais; Nicholas C.H. Roper</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if to the Company, to:</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AtaiBeckley Inc.</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c/o atai Life Sciences US, Inc.</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c/o Industrious NYC</w:t>
      </w:r>
    </w:p>
    <w:p>
      <w:pPr>
        <w:pStyle w:val="TextBody"/>
        <w:bidi w:val="0"/>
        <w:spacing w:lineRule="auto" w:line="240" w:before="0" w:after="0"/>
        <w:ind w:left="2880" w:right="0" w:hanging="0"/>
        <w:jc w:val="left"/>
        <w:rPr>
          <w:rFonts w:ascii="Times New Roman" w:hAnsi="Times New Roman"/>
          <w:color w:val="000000"/>
          <w:sz w:val="20"/>
        </w:rPr>
      </w:pPr>
      <w:r>
        <w:rPr>
          <w:rFonts w:ascii="Times New Roman" w:hAnsi="Times New Roman"/>
          <w:color w:val="000000"/>
          <w:sz w:val="20"/>
        </w:rPr>
        <w:t>250 West 34th St.</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New York, NY 10119</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Ryan Barrett; Srinivas Rao</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with an additional copy (which will not constitute notice) to:</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Latham &amp; Watkins LLP</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1271 Avenue of the Americas</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New York, NY 10020</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Nathan Ajiashvili; Charles Ruck; Scott Shean; Brian Umanoff</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8.3.          </w:t>
      </w:r>
      <w:r>
        <w:rPr>
          <w:rFonts w:ascii="Times New Roman" w:hAnsi="Times New Roman"/>
          <w:color w:val="000000"/>
          <w:sz w:val="20"/>
          <w:u w:val="single"/>
        </w:rPr>
        <w:t>Certain Definitions</w:t>
      </w:r>
      <w:r>
        <w:rPr>
          <w:rFonts w:ascii="Times New Roman" w:hAnsi="Times New Roman"/>
          <w:color w:val="000000"/>
          <w:sz w:val="20"/>
        </w:rPr>
        <w:t>. For purposes of this Agreement the term:</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Acquisition Proposal</w:t>
      </w:r>
      <w:r>
        <w:rPr>
          <w:rFonts w:ascii="Times New Roman" w:hAnsi="Times New Roman"/>
          <w:color w:val="000000"/>
          <w:sz w:val="20"/>
        </w:rPr>
        <w:t>” means any indication of interest, inquiry, offer or proposal made or renewed by a Person or Group (other than Parent or Merger Sub) relating to any (a) direct or indirect issuance, exchange, purchase or other acquisition (in each case, whether in a single transaction or a series of related transactions) by any Person or Group, whether from the Company or any other Person(s), of shares of Company Common Stock or other Company Securities representing more than twenty percent (20%) of the Company Common Stock or other voting or equity securities of the Company outstanding after giving effect to the consummation of such issuance, exchange, purchase or other acquisition, including pursuant to a tender offer or exchange offer by any Person or Group that, if consummated in accordance with its terms, would result in such Person or Group beneficially owning more than twenty percent (20%) of the Company Common Stock outstanding after giving effect to the consummation of such tender or exchange offer; (b) direct or indirect purchase, exchange, transfer or other acquisition (including by license, partnership, collaboration, distribution, disposition or revenue-sharing arrangement) (in each case, whether in a single transaction or a series of related transactions) by any Person or Group of more than twenty percent (20%) of the consolidated total assets (including through the acquisition of stock in its Subsidiaries) of the Company and its Subsidiaries, taken as a whole (measured by the fair market value thereof as of the date of such purchase or acquisition); or (c) merger, consolidation, business combination, recapitalization, reorganization, liquidation, dissolution or other transaction (in each case, whether in a single transaction or a series of related transactions) involving the Company or any of its Subsidiaries pursuant to which any Person or Group would hold shares of Company Common Stock or other Company Securities representing more than twenty percent (20%) of the Company Common Stock or other Company Securities outstanding after giving effect to the consummation of such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Action</w:t>
      </w:r>
      <w:r>
        <w:rPr>
          <w:rFonts w:ascii="Times New Roman" w:hAnsi="Times New Roman"/>
          <w:color w:val="000000"/>
          <w:sz w:val="20"/>
        </w:rPr>
        <w:t>” means any charge, dispute, cause of action, claim, counterclaim, audit, assessment, examination, mediation, action, suit, litigation, arbitration, proceeding, investigation, inquiry, or other legal proceeding.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of any particular Person means any other Person controlling, controlled by or under common control with such particular Person. For the purposes of this definition, “controlling,” “controlled” and “control” mean the possession, directly or indirectly, of the power to direct the management and policies of a Person whether through the ownership of voting securities, contract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AI Technology</w:t>
      </w:r>
      <w:r>
        <w:rPr>
          <w:rFonts w:ascii="Times New Roman" w:hAnsi="Times New Roman"/>
          <w:color w:val="000000"/>
          <w:sz w:val="20"/>
        </w:rPr>
        <w:t>” means any deep learning, self-improving or machine learning software, model, algorithm, hardware or other artificial intelligence tool or aid of any kind, including generative artificial intelligence.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Antitrust and FDI Laws</w:t>
      </w:r>
      <w:r>
        <w:rPr>
          <w:rFonts w:ascii="Times New Roman" w:hAnsi="Times New Roman"/>
          <w:color w:val="000000"/>
          <w:sz w:val="20"/>
        </w:rPr>
        <w:t>” means (a) the HSR Act, the Sherman Act, the Clayton Act, the Federal Trade Commission Act, and any other United States federal or state or foreign Laws that are designed to prohibit, restrict or regulate actions having the purpose or effect of lessening competition or restraint of trade and (b) any Law regulating foreign investment screening, national security or trade regulation.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xml:space="preserve">” means any day on which the principal offices of the SEC in Washington, D.C. are open to accept filings; </w:t>
      </w:r>
      <w:r>
        <w:rPr>
          <w:rFonts w:ascii="Times New Roman" w:hAnsi="Times New Roman"/>
          <w:color w:val="000000"/>
          <w:sz w:val="20"/>
          <w:u w:val="single"/>
        </w:rPr>
        <w:t>provided</w:t>
      </w:r>
      <w:r>
        <w:rPr>
          <w:rFonts w:ascii="Times New Roman" w:hAnsi="Times New Roman"/>
          <w:color w:val="000000"/>
          <w:sz w:val="20"/>
        </w:rPr>
        <w:t xml:space="preserve"> that, in the case of determining a date on which any payment is due hereunder, “</w:t>
      </w:r>
      <w:r>
        <w:rPr>
          <w:rFonts w:ascii="Times New Roman" w:hAnsi="Times New Roman"/>
          <w:color w:val="000000"/>
          <w:sz w:val="20"/>
          <w:u w:val="single"/>
        </w:rPr>
        <w:t>Business Day</w:t>
      </w:r>
      <w:r>
        <w:rPr>
          <w:rFonts w:ascii="Times New Roman" w:hAnsi="Times New Roman"/>
          <w:color w:val="000000"/>
          <w:sz w:val="20"/>
        </w:rPr>
        <w:t>” shall mean any day (other than Saturday or Sunday) on which banks are open in New York, New York.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Cash and Cash Equivalents</w:t>
      </w:r>
      <w:r>
        <w:rPr>
          <w:rFonts w:ascii="Times New Roman" w:hAnsi="Times New Roman"/>
          <w:color w:val="000000"/>
          <w:sz w:val="20"/>
        </w:rPr>
        <w:t>” means the Company’s and its Subsidiaries’ cash and cash equivalents which are highly liquid investments with a maturity of three (3) months or less from the date of purchase determined in accordance with GAAP, applied on a basis consistent with the Company’s application thereof in the Company’s consolidated financial statements.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Change of Board Recommendation</w:t>
      </w:r>
      <w:r>
        <w:rPr>
          <w:rFonts w:ascii="Times New Roman" w:hAnsi="Times New Roman"/>
          <w:color w:val="000000"/>
          <w:sz w:val="20"/>
        </w:rPr>
        <w:t xml:space="preserve">” means (a) the withdrawal, qualification or modification (in a manner adverse to Parent or Merger Sub) of the Company Board Recommendation or the public announcement of any proposal to withdraw, qualify or modify (in a manner adverse to Parent or Merger Sub) the Company Board Recommendation, (or any resolution or agreement to take any such action), (b) the failure by the Company, within ten (10) Business Days of the commencement of a tender or exchange offer for Shares that constitutes an Acquisition Proposal by a Person other than Parent or any of its Affiliates, to file a Schedule 14D-9 pursuant to Rule 14e-2 and Rule 14d-9 promulgated under the Exchange Act recommending that the holders of the Shares reject such Acquisition Proposal and not tender any Shares into such tender or exchange offer, (c) the adoption, endorsement, approval or recommendation (or any public proposal with respect to the same) of any Acquisition Proposal, (d) the failure to include the Company Board Recommendation in the Proxy Statement when disseminated to the holders of Shares pursuant to the terms herein or (e) the failure by the Company Board or a committee thereof to publicly reaffirm the Company Board Recommendation following receipt by the Company of a publicly announced Acquisition Proposal by three (3) Business Days following receipt of a written request from Parent to provide such public reaffirmation; </w:t>
      </w:r>
      <w:r>
        <w:rPr>
          <w:rFonts w:ascii="Times New Roman" w:hAnsi="Times New Roman"/>
          <w:color w:val="000000"/>
          <w:sz w:val="20"/>
          <w:u w:val="single"/>
        </w:rPr>
        <w:t>provided</w:t>
      </w:r>
      <w:r>
        <w:rPr>
          <w:rFonts w:ascii="Times New Roman" w:hAnsi="Times New Roman"/>
          <w:color w:val="000000"/>
          <w:sz w:val="20"/>
        </w:rPr>
        <w:t xml:space="preserve"> that Parent may deliver only one such request with respect to any single Acquisition Proposal (other than with respect to material amendments, modifications or supplements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Balance Sheet Date</w:t>
      </w:r>
      <w:r>
        <w:rPr>
          <w:rFonts w:ascii="Times New Roman" w:hAnsi="Times New Roman"/>
          <w:color w:val="000000"/>
          <w:sz w:val="20"/>
        </w:rPr>
        <w:t>” means March 31, 2026.</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Equity Plan</w:t>
      </w:r>
      <w:r>
        <w:rPr>
          <w:rFonts w:ascii="Times New Roman" w:hAnsi="Times New Roman"/>
          <w:color w:val="000000"/>
          <w:sz w:val="20"/>
        </w:rPr>
        <w:t>” means each of the AtaiBeckley Inc. 2021 Incentive Award Plan, the Atai Life Sciences AG 2020 Employee, Director and Consultant Equity Incentive Plan, each as amended and restated.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Intellectual Property</w:t>
      </w:r>
      <w:r>
        <w:rPr>
          <w:rFonts w:ascii="Times New Roman" w:hAnsi="Times New Roman"/>
          <w:color w:val="000000"/>
          <w:sz w:val="20"/>
        </w:rPr>
        <w:t>” means all Owned Intellectual Property, Exclusive Intellectual Property, and all other Intellectual Property used or held for use for the operation of the business of the Company and its Subsidiaries as currently conducted and proposed to be conducted.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Material Adverse Effect</w:t>
      </w:r>
      <w:r>
        <w:rPr>
          <w:rFonts w:ascii="Times New Roman" w:hAnsi="Times New Roman"/>
          <w:color w:val="000000"/>
          <w:sz w:val="20"/>
        </w:rPr>
        <w:t>” means any state of facts, change, effect, event, circumstance, result, development, condition, inaccuracy or occurrence (an “</w:t>
      </w:r>
      <w:r>
        <w:rPr>
          <w:rFonts w:ascii="Times New Roman" w:hAnsi="Times New Roman"/>
          <w:color w:val="000000"/>
          <w:sz w:val="20"/>
          <w:u w:val="single"/>
        </w:rPr>
        <w:t>Effect</w:t>
      </w:r>
      <w:r>
        <w:rPr>
          <w:rFonts w:ascii="Times New Roman" w:hAnsi="Times New Roman"/>
          <w:color w:val="000000"/>
          <w:sz w:val="20"/>
        </w:rPr>
        <w:t xml:space="preserve">”) that, alone or taken together, (x) has or would reasonably be expected to have, individually or in the aggregate, a material adverse effect on the business, financial condition, assets and liabilities (taken as a whole), operations, or results of operations of the Company and its Subsidiaries, taken as a whole, or (y) prevents or materially impairs or materially delays the ability of the Company to timely perform its obligations hereunder or consummate the Contemplated Transactions; </w:t>
      </w:r>
      <w:r>
        <w:rPr>
          <w:rFonts w:ascii="Times New Roman" w:hAnsi="Times New Roman"/>
          <w:color w:val="000000"/>
          <w:sz w:val="20"/>
          <w:u w:val="single"/>
        </w:rPr>
        <w:t>provided</w:t>
      </w:r>
      <w:r>
        <w:rPr>
          <w:rFonts w:ascii="Times New Roman" w:hAnsi="Times New Roman"/>
          <w:color w:val="000000"/>
          <w:sz w:val="20"/>
        </w:rPr>
        <w:t xml:space="preserve"> that for purposes of clause (x), any Effect resulting from any of the following will not be deemed to constitute a Company Material Adverse Effect: (a) matters generally affecting the U.S. or foreign economies, financial or securities markets, or political, legislative, or regulatory conditions, or the industry in which the Company and its Subsidiaries, taken as a whole, operate; (b) changes in any financial, debt, credit, capital, banking or securities markets or conditions, including changes in interest, currency or exchange rates or in the price of any commodity, security or market index; (c) the announcement of this Agreement or the Contemplated Transactions (it being understood and agreed that this clause (c) will not apply to the representation or warranty contained in </w:t>
      </w:r>
      <w:r>
        <w:rPr>
          <w:rFonts w:ascii="Times New Roman" w:hAnsi="Times New Roman"/>
          <w:color w:val="000000"/>
          <w:sz w:val="20"/>
          <w:u w:val="single"/>
        </w:rPr>
        <w:t>Section 4.4</w:t>
      </w:r>
      <w:r>
        <w:rPr>
          <w:rFonts w:ascii="Times New Roman" w:hAnsi="Times New Roman"/>
          <w:color w:val="000000"/>
          <w:sz w:val="20"/>
        </w:rPr>
        <w:t xml:space="preserve">) (including by reason of the identity of Parent or Merger Sub), including the impact thereof on the relationships, contractual or otherwise, of the Company and its Subsidiaries with any Governmental Body, supplier, vendor, service provider, collaboration partner, licensor, licensee or any other party having business dealings with the Company or any of its Subsidiaries (including the termination, suspension or modification of any such relationships); (d) any change in the market price or trading volume of the Shares or any change or prospective change of the ratings or the ratings outlook for the Company; </w:t>
      </w:r>
      <w:r>
        <w:rPr>
          <w:rFonts w:ascii="Times New Roman" w:hAnsi="Times New Roman"/>
          <w:color w:val="000000"/>
          <w:sz w:val="20"/>
          <w:u w:val="single"/>
        </w:rPr>
        <w:t>provided</w:t>
      </w:r>
      <w:r>
        <w:rPr>
          <w:rFonts w:ascii="Times New Roman" w:hAnsi="Times New Roman"/>
          <w:color w:val="000000"/>
          <w:sz w:val="20"/>
        </w:rPr>
        <w:t xml:space="preserve"> that this exception will not preclude a determination that a matter underlying such change has resulted in or contributed to a Company Material Adverse Effect unless excluded under another clause; (e) acts of war or terrorism (including cyberattacks) (including any acts of war or sanctions imposed in connection with the current disputes involving (i) the Russian Federation and Ukraine or (ii) Israel, Hamas, Lebanon, Syria, Iran and any other state or non-state actors involved), national emergencies, civil unrest, natural disasters, force majeure events, weather or environmental events or health emergencies, including pandemics or epidemics (or the escalation of any of the foregoing); (f) changes in Laws or regulations, tariffs issued by any Governmental Body after the date of this Agreement, changes in GAAP or other applicable accounting standards (or the authoritative interpretations thereof), or changes in stock exchange rules or listing standards; (g) any action taken by the Company or its Subsidiaries that is required by this Agreement, including compliance with covenants set forth herein (excluding the requirement that the Company and its Subsidiaries operate in the ordinary course of business), or any action taken or omitted to be taken by the Company or its Subsidiaries at the express written request or with the prior written consent of Parent or Merger Sub; (h) the initiation or settlement of any legal proceedings commenced by any holder of Shares (on their own or on behalf of the Company or any of its Subsidiaries) arising out of or related to this Agreement or the Contemplated Transactions; (i) any failure by the Company or its Subsidiaries to meet any internal or analyst projections or forecasts or estimates of revenues, earnings, or other financial metrics for any period (it being understood that the underlying facts and circumstances giving rise to any such failure may, if they are not otherwise excluded from this definition, be deemed to constitute and may be taken into account in determining whether a Company Material Adverse Effect has occurred); (j) any results, outcomes, data, adverse events, side effects or safety observations arising from any non-clinical or clinical studies or trials that have been conducted by or on behalf of the Company or its Subsidiaries (or the announcements thereof), or the determination by, or the delay of a determination by, or recommendation of, the FDA or other Governmental Body, or any panel or advisory body empowered or appointed thereby, with respect to the clinical hold, acceptance, filing, designation, approval, clearance, non-acceptance, termination, refusal to file, non-approval, disapproval or non-clearance of any of the Company’s or its Subsidiaries’ Products, regulatory filings or clinical trials; or (k) any recommendations, statements, decisions or other pronouncements made, published or proposed by professional medical organizations or any Governmental Body or representative thereof, or any panel or advisory body empowered or appointed by any of the foregoing, relating to any Product, or any product or product candidate of competitors of the Company or any of its Subsidiaries; except in the case of the foregoing </w:t>
      </w:r>
      <w:r>
        <w:rPr>
          <w:rFonts w:ascii="Times New Roman" w:hAnsi="Times New Roman"/>
          <w:color w:val="000000"/>
          <w:sz w:val="20"/>
          <w:u w:val="single"/>
        </w:rPr>
        <w:t>clauses (j)</w:t>
      </w:r>
      <w:r>
        <w:rPr>
          <w:rFonts w:ascii="Times New Roman" w:hAnsi="Times New Roman"/>
          <w:color w:val="000000"/>
          <w:sz w:val="20"/>
        </w:rPr>
        <w:t xml:space="preserve"> and </w:t>
      </w:r>
      <w:r>
        <w:rPr>
          <w:rFonts w:ascii="Times New Roman" w:hAnsi="Times New Roman"/>
          <w:color w:val="000000"/>
          <w:sz w:val="20"/>
          <w:u w:val="single"/>
        </w:rPr>
        <w:t>(k)</w:t>
      </w:r>
      <w:r>
        <w:rPr>
          <w:rFonts w:ascii="Times New Roman" w:hAnsi="Times New Roman"/>
          <w:color w:val="000000"/>
          <w:sz w:val="20"/>
        </w:rPr>
        <w:t xml:space="preserve"> to the extent such Effect results from (i) the issuance by the FDA or any similar Governmental Body of one or more orders that impose a clinical hold on any clinical trial or other investigation of any Product, the result of which would be reasonably likely to result in a termination of the development of, or a termination of, or delay of six (6) months or more in dosing patients in, any clinical trial of, any Product, or (ii) any adverse event or development arising from or related to any Product that results in a serious adverse event (as defined in 21 C.F.R. Part 312) (in which case of (i) or (ii), such Effect, to the extent arising from such order or adverse event or development, may be taken into account in determining whether there has been a Company Material Adverse Effect);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the exceptions set forth in </w:t>
      </w:r>
      <w:r>
        <w:rPr>
          <w:rFonts w:ascii="Times New Roman" w:hAnsi="Times New Roman"/>
          <w:color w:val="000000"/>
          <w:sz w:val="20"/>
          <w:u w:val="single"/>
        </w:rPr>
        <w:t>subclauses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and </w:t>
      </w:r>
      <w:r>
        <w:rPr>
          <w:rFonts w:ascii="Times New Roman" w:hAnsi="Times New Roman"/>
          <w:color w:val="000000"/>
          <w:sz w:val="20"/>
          <w:u w:val="single"/>
        </w:rPr>
        <w:t>(f)</w:t>
      </w:r>
      <w:r>
        <w:rPr>
          <w:rFonts w:ascii="Times New Roman" w:hAnsi="Times New Roman"/>
          <w:color w:val="000000"/>
          <w:sz w:val="20"/>
        </w:rPr>
        <w:t xml:space="preserve"> have a materially disproportionate impact on the Company and its Subsidiaries, taken as a whole, compared to other companies that operate in the industries in which the Company and its Subsidiaries operate, then such materially disproportionate Effects may be taken into account in determining whether a Company Material Adverse Effect has occurred solely to the extent of such materially disproportionate impact.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Plan</w:t>
      </w:r>
      <w:r>
        <w:rPr>
          <w:rFonts w:ascii="Times New Roman" w:hAnsi="Times New Roman"/>
          <w:color w:val="000000"/>
          <w:sz w:val="20"/>
        </w:rPr>
        <w:t>” means a Plan that the Company or its Subsidiaries sponsors, maintains, contributes to or is obligated to contribute to, in each case, for the benefit of any current or former officer, director, employee or individual independent contractor or other individual service provider of the Company or its Subsidiaries, or under or with respect to which the Company or any of its Subsidiaries has or could reasonably be expected to have any Liability. For clarity, “</w:t>
      </w:r>
      <w:r>
        <w:rPr>
          <w:rFonts w:ascii="Times New Roman" w:hAnsi="Times New Roman"/>
          <w:color w:val="000000"/>
          <w:sz w:val="20"/>
          <w:u w:val="single"/>
        </w:rPr>
        <w:t>Company Plans</w:t>
      </w:r>
      <w:r>
        <w:rPr>
          <w:rFonts w:ascii="Times New Roman" w:hAnsi="Times New Roman"/>
          <w:color w:val="000000"/>
          <w:sz w:val="20"/>
        </w:rPr>
        <w:t>” includes the “</w:t>
      </w:r>
      <w:r>
        <w:rPr>
          <w:rFonts w:ascii="Times New Roman" w:hAnsi="Times New Roman"/>
          <w:color w:val="000000"/>
          <w:sz w:val="20"/>
          <w:u w:val="single"/>
        </w:rPr>
        <w:t>Company Equity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RSU</w:t>
      </w:r>
      <w:r>
        <w:rPr>
          <w:rFonts w:ascii="Times New Roman" w:hAnsi="Times New Roman"/>
          <w:color w:val="000000"/>
          <w:sz w:val="20"/>
        </w:rPr>
        <w:t>” means a restricted stock unit granted under a Company Equity Plan or otherwise that is subject solely to time-based vesting.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Stock Option</w:t>
      </w:r>
      <w:r>
        <w:rPr>
          <w:rFonts w:ascii="Times New Roman" w:hAnsi="Times New Roman"/>
          <w:color w:val="000000"/>
          <w:sz w:val="20"/>
        </w:rPr>
        <w:t>” means an option to purchase Shares granted under a Company Equity Plan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Confidentiality Agreement</w:t>
      </w:r>
      <w:r>
        <w:rPr>
          <w:rFonts w:ascii="Times New Roman" w:hAnsi="Times New Roman"/>
          <w:color w:val="000000"/>
          <w:sz w:val="20"/>
        </w:rPr>
        <w:t>” means the Confidentiality Agreement, dated as of July 2, 2024, by and between Eli Lilly and Company, as amended.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Contemplated Transactions</w:t>
      </w:r>
      <w:r>
        <w:rPr>
          <w:rFonts w:ascii="Times New Roman" w:hAnsi="Times New Roman"/>
          <w:color w:val="000000"/>
          <w:sz w:val="20"/>
        </w:rPr>
        <w:t>” means each of the transactions contemplated by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Contract</w:t>
      </w:r>
      <w:r>
        <w:rPr>
          <w:rFonts w:ascii="Times New Roman" w:hAnsi="Times New Roman"/>
          <w:color w:val="000000"/>
          <w:sz w:val="20"/>
        </w:rPr>
        <w:t>” means any written, oral or other agreement, contract, subcontract, lease, sub-lease, occupancy agreement, binding understanding, obligation, promise, instrument, indenture, mortgage, note, purchase order, license, sublicense, commitment or undertaking of any nature, which, in each case, is legally binding upon a party or on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Copyrights</w:t>
      </w:r>
      <w:r>
        <w:rPr>
          <w:rFonts w:ascii="Times New Roman" w:hAnsi="Times New Roman"/>
          <w:color w:val="000000"/>
          <w:sz w:val="20"/>
        </w:rPr>
        <w:t>” means all works of authorship (whether or not copyrightable, including all software, whether in source code or object code format, and documentation therefor) and all copyrights (whether or not registered), including all registrations thereof and applications therefor, and all renewals, extensions, restorations and reversions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Determination Notice</w:t>
      </w:r>
      <w:r>
        <w:rPr>
          <w:rFonts w:ascii="Times New Roman" w:hAnsi="Times New Roman"/>
          <w:color w:val="000000"/>
          <w:sz w:val="20"/>
        </w:rPr>
        <w:t xml:space="preserve">” means any notice delivered by the Company to Parent pursuant to </w:t>
      </w:r>
      <w:r>
        <w:rPr>
          <w:rFonts w:ascii="Times New Roman" w:hAnsi="Times New Roman"/>
          <w:color w:val="000000"/>
          <w:sz w:val="20"/>
          <w:u w:val="single"/>
        </w:rPr>
        <w:t>Section 5.3(e)(i)</w:t>
      </w:r>
      <w:r>
        <w:rPr>
          <w:rFonts w:ascii="Times New Roman" w:hAnsi="Times New Roman"/>
          <w:color w:val="000000"/>
          <w:sz w:val="20"/>
        </w:rPr>
        <w:t xml:space="preserve">, </w:t>
      </w:r>
      <w:r>
        <w:rPr>
          <w:rFonts w:ascii="Times New Roman" w:hAnsi="Times New Roman"/>
          <w:color w:val="000000"/>
          <w:sz w:val="20"/>
          <w:u w:val="single"/>
        </w:rPr>
        <w:t>Section 5.3(e)(ii)</w:t>
      </w:r>
      <w:r>
        <w:rPr>
          <w:rFonts w:ascii="Times New Roman" w:hAnsi="Times New Roman"/>
          <w:color w:val="000000"/>
          <w:sz w:val="20"/>
        </w:rPr>
        <w:t xml:space="preserve"> or </w:t>
      </w:r>
      <w:r>
        <w:rPr>
          <w:rFonts w:ascii="Times New Roman" w:hAnsi="Times New Roman"/>
          <w:color w:val="000000"/>
          <w:sz w:val="20"/>
          <w:u w:val="single"/>
        </w:rPr>
        <w:t>Section 5.3(e)(iii)</w:t>
      </w:r>
      <w:r>
        <w:rPr>
          <w:rFonts w:ascii="Times New Roman" w:hAnsi="Times New Roman"/>
          <w:color w:val="000000"/>
          <w:sz w:val="20"/>
        </w:rPr>
        <w:t>, which (a) in respect of a Superior Proposal, shall specify the identity of the Person who made such Superior Proposal and the material terms and conditions of such Superior Proposal and attach the most current version of the relevant transaction agreement and (b) in respect of an Intervening Event, shall include a reasonably detailed description of the underlying facts giving rise to such 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DSP</w:t>
      </w:r>
      <w:r>
        <w:rPr>
          <w:rFonts w:ascii="Times New Roman" w:hAnsi="Times New Roman"/>
          <w:color w:val="000000"/>
          <w:sz w:val="20"/>
        </w:rPr>
        <w:t>” means 28 C.F.R. Part 202.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EMA</w:t>
      </w:r>
      <w:r>
        <w:rPr>
          <w:rFonts w:ascii="Times New Roman" w:hAnsi="Times New Roman"/>
          <w:color w:val="000000"/>
          <w:sz w:val="20"/>
        </w:rPr>
        <w:t>” means the European Medicines Agency, or any successor agency or authority thereto with comparable responsibilities.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Environmental Laws</w:t>
      </w:r>
      <w:r>
        <w:rPr>
          <w:rFonts w:ascii="Times New Roman" w:hAnsi="Times New Roman"/>
          <w:color w:val="000000"/>
          <w:sz w:val="20"/>
        </w:rPr>
        <w:t>” means any Law relating to (a) pollution or the protection, investigation, remediation or restoration of the environment, human health and safety (as it relates to exposure to Hazardous Substances), or natural resources or (b) the manufacture, handling, use, storage, treatment, transport, disposal, marketing, distribution, sale, Release or threatened Release of any Hazardous Substance.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ERISA Affiliate</w:t>
      </w:r>
      <w:r>
        <w:rPr>
          <w:rFonts w:ascii="Times New Roman" w:hAnsi="Times New Roman"/>
          <w:color w:val="000000"/>
          <w:sz w:val="20"/>
        </w:rPr>
        <w:t>” means any trade or business (whether or not incorporated) which is, or has at any relevant time been, under common control, or treated as a single employer, with the Company or its Subsidiaries under Sections 414(b), (c), (m) or (o) of the Code or is or was at the relevant time, a member of the same “controlled group” as the Company or its Subsidiaries pursuant to Section 4001(a)(14) of ERISA.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Exclusive Intellectual Property</w:t>
      </w:r>
      <w:r>
        <w:rPr>
          <w:rFonts w:ascii="Times New Roman" w:hAnsi="Times New Roman"/>
          <w:color w:val="000000"/>
          <w:sz w:val="20"/>
        </w:rPr>
        <w:t>” means all Intellectual Property that is or has been exclusively licensed to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FDA</w:t>
      </w:r>
      <w:r>
        <w:rPr>
          <w:rFonts w:ascii="Times New Roman" w:hAnsi="Times New Roman"/>
          <w:color w:val="000000"/>
          <w:sz w:val="20"/>
        </w:rPr>
        <w:t>” means the United States Food and Drug Administration, or any successor agency or authority thereto with comparable responsibilities.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FDCA</w:t>
      </w:r>
      <w:r>
        <w:rPr>
          <w:rFonts w:ascii="Times New Roman" w:hAnsi="Times New Roman"/>
          <w:color w:val="000000"/>
          <w:sz w:val="20"/>
        </w:rPr>
        <w:t>” means the Federal Food, Drug and Cosmetic Act of 1938, as amended (21 U.S.C. §301 et seq.).</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Federal Health Care Program</w:t>
      </w:r>
      <w:r>
        <w:rPr>
          <w:rFonts w:ascii="Times New Roman" w:hAnsi="Times New Roman"/>
          <w:color w:val="000000"/>
          <w:sz w:val="20"/>
        </w:rPr>
        <w:t>” has the meaning set forth in 42 U.S.C. 1320a-7b(f), including but not limited to Medicare, Medicaid, TRICARE, CHAMPVA, any state health plan adopted pursuant to Title XIX of the Social Security Act (42 U.S.C. 1395 et seq.), any health insurance program for the benefit of federal employees, including those under chapter 89 of title 5, United States Code, and any other state or federal healthcare program administered by a Governmental Body.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Finance Leases</w:t>
      </w:r>
      <w:r>
        <w:rPr>
          <w:rFonts w:ascii="Times New Roman" w:hAnsi="Times New Roman"/>
          <w:color w:val="000000"/>
          <w:sz w:val="20"/>
        </w:rPr>
        <w:t>” means all obligations for finance leases (determined in accordance with GAAP).</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means U.S. generally accepted accounting principles as in effect on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Good Clinical Practices</w:t>
      </w:r>
      <w:r>
        <w:rPr>
          <w:rFonts w:ascii="Times New Roman" w:hAnsi="Times New Roman"/>
          <w:color w:val="000000"/>
          <w:sz w:val="20"/>
        </w:rPr>
        <w:t>” means all applicable then-current Good Clinical Practice requirements and standards for the design, conduct, performance, monitoring, auditing, recording, analysis and reporting of clinical trials (including all applicable requirements relating to protection of human subjects), as set forth in applicable Law, such as, as applicable, the FDCA, 21 C.F.R. Parts 11, 50, 54, 56, and 312, Directive 2001/20/EC of the European Parliament and of the Council of 4 April 2001, Commission Directive 2005/28/EC of 8 April 2005, and the equivalent requirements of other Governmental Bodies, as such obligations are interpreted and enforced by the FDA, EMA, MHRA and other Governmental Bodies, including as interpreted under prevailing industry standards and applicable guidance documents issued by the FDA and any other Governmental Body, including International Council for Harmonisation (“</w:t>
      </w:r>
      <w:r>
        <w:rPr>
          <w:rFonts w:ascii="Times New Roman" w:hAnsi="Times New Roman"/>
          <w:color w:val="000000"/>
          <w:sz w:val="20"/>
          <w:u w:val="single"/>
        </w:rPr>
        <w:t>ICH</w:t>
      </w:r>
      <w:r>
        <w:rPr>
          <w:rFonts w:ascii="Times New Roman" w:hAnsi="Times New Roman"/>
          <w:color w:val="000000"/>
          <w:sz w:val="20"/>
        </w:rPr>
        <w:t>”) Guideline for Good Clinical Practices, and the equivalent legal requirements in other applicable jurisdictions, as the same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Good Laboratory Practices</w:t>
      </w:r>
      <w:r>
        <w:rPr>
          <w:rFonts w:ascii="Times New Roman" w:hAnsi="Times New Roman"/>
          <w:color w:val="000000"/>
          <w:sz w:val="20"/>
        </w:rPr>
        <w:t>” means all applicable then-current Good Laboratory Practice requirements and standards for conducting nonclinical studies and laboratory activities for drugs, as set forth in applicable Laws governing the conduct of non-clinical safety studies and which seek to ensure the quality, integrity and reliability of study data, including as applicable those set forth in 21 C.F.R. Part 58 and the equivalent legal requirements and standards of EMA and other Governmental Bodies in other applicable jurisdictions, as such obligations are interpreted and enforced by FDA, EMA, MHRA and other Governmental Bodies, including as set forth in applicable guidance documents issued by the FDA and the quality guidelines promulgated by the ICH, as the same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Good Manufacturing Practices</w:t>
      </w:r>
      <w:r>
        <w:rPr>
          <w:rFonts w:ascii="Times New Roman" w:hAnsi="Times New Roman"/>
          <w:color w:val="000000"/>
          <w:sz w:val="20"/>
        </w:rPr>
        <w:t>” means all applicable then-current Good Manufacturing Practices requirements and standards for the methods to be used in, and the facilities or controls to be used for, the manufacture, processing, packing, or holding of drugs, including as set forth in the FDCA, 21 C.F.R. Parts 210 and 211, and the equivalent requirements and standards of EMA, MHRA and other Governmental Bodies as such obligations are interpreted and enforced by the FDA, EMA, MHRA, and other Governmental Bodies, including as set forth in applicable guidance documents issued by the FDA and the quality guidelines promulgated by the ICH, and the equivalent legal requirements in other applicable jurisdictions, all as the same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Governmental Body</w:t>
      </w:r>
      <w:r>
        <w:rPr>
          <w:rFonts w:ascii="Times New Roman" w:hAnsi="Times New Roman"/>
          <w:color w:val="000000"/>
          <w:sz w:val="20"/>
        </w:rPr>
        <w:t>” means any federal, state, provincial, local, municipal, foreign, supranational, national or other governmental or quasi-governmental authority or authority exercising legislative, judicial, regulatory or administrative functions of or pertaining to any of the foregoing, including any arbitrator or arbitral body (whether public or private), mediator and applicable securities exchanges, or any department, minister, agency, commission, commissioner, board, subdivision, bureau, instrumentality, court or other tribunal of any of the foregoing.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Group</w:t>
      </w:r>
      <w:r>
        <w:rPr>
          <w:rFonts w:ascii="Times New Roman" w:hAnsi="Times New Roman"/>
          <w:color w:val="000000"/>
          <w:sz w:val="20"/>
        </w:rPr>
        <w:t>” has the meaning as used in Section 13 of the Exchange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Hazardous Substance</w:t>
      </w:r>
      <w:r>
        <w:rPr>
          <w:rFonts w:ascii="Times New Roman" w:hAnsi="Times New Roman"/>
          <w:color w:val="000000"/>
          <w:sz w:val="20"/>
        </w:rPr>
        <w:t>” means any element, compound, chemical, material, waste or other substance that is defined, listed or classified as a contaminant or pollutant or as toxic, hazardous or any other words of similar intent or meaning under, or otherwise regulated by, any Environmental Laws, including any petroleum product or by-product polychlorinated biphenyls, per- and polyfluoroalkyl substances (PFAS), and radioactive materials.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Healthcare Laws</w:t>
      </w:r>
      <w:r>
        <w:rPr>
          <w:rFonts w:ascii="Times New Roman" w:hAnsi="Times New Roman"/>
          <w:color w:val="000000"/>
          <w:sz w:val="20"/>
        </w:rPr>
        <w:t>” means, any Law applicable to the conduct of Parent’s business or the Company’s or its Subsidiaries business, the purpose of which is to ensure the safety, efficacy, quality of research, development, manufacturing, testing, packaging, storage, use, distribution, labeling, promotion, sale, offer for sale, import, export, or disposal of pharmaceutical products, including (a) all federal and state fraud and abuse Laws, including, the federal Anti-Kickback Statute (42 U.S.C. § 1320a-7b(b)), the Anti-Inducement Law (42 U.S.C. § 1320a-7a(a)(5)), the civil False Claims Act (31 U.S.C. § 3729 et seq.), Sections 1320a-7 and 1320a-7a of Title 42 of the United States Code, the administrative False Claims Law (42 U.S.C. § 1320a-7b(a)), and the regulations promulgated pursuant to such statutes, (b) the Federal Controlled Substances Act, 21 U.S.C. § 801 et seq. and all applicable rules and regulations of the DEA; (c) Titles XVIII (42 U.S.C. §1395 et seq.) and XIX (42 U.S.C. §1396 et seq.) of the Social Security Act and the regulations promulgated thereunder and any other Law pertaining to or governing a governmental health care program, and the regulations promulgated thereunder, (d)  Medicare Prescription Drug, Improvement, and Modernization Act of 2003 (42 U.S.C. §1395w-101 et seq.) and the regulations promulgated thereunder, (e) the U.S. Physician Payments Sunshine Act (42 U.S.C. § 1320a-7h) and state or local Laws regulating or requiring reporting of interactions between pharmaceutical manufacturers and members of the healthcare industry and regulations promulgated thereunder, (f) Laws governing government pricing or price reporting programs and regulations promulgated thereunder, including the Medicaid Drug Rebate Program (42 U.S.C. § 1396r-8) and any state supplemental rebate program, the Public Health Service Act (42 U.S.C. § 256b), the VA Federal Supply Schedule (38 U.S.C. § 8126) or any state pharmaceutical assistance program or U.S. Department of Veterans Affairs agreement, and any successor government programs, (g) the FDCA, (h) applicable regulations issued by the FDA, EMA, MHRA, and other Governmental Bodies, including, as applicable, those requirements relating to Good Manufacturing Practices, Good Laboratory Practices, Good Clinical Practices, investigational use, pre-market approval and applications to market a new pharmaceutical product, (i) Laws governing the development, conduct, monitoring, patient informed consent, auditing, analysis, use and reporting of clinical trial data, (j) Laws governing data gathering activities relating to the detection and reporting of adverse events (including applicable pharmacovigilance and adverse event regulations of the FDA, EMA, MHRA, and other Governmental Bodies), (k) all comparable state, local, federal, non-U.S. or other Laws relating to any of the foregoing, (l) any and all other health care Laws and regulations applicable to Parent, Parent’s Subsidiaries or the Company or the Company’s Subsidiaries, or affecting their respective businesses, and (m) any rules, regulations, and directives, policy statements, or guidance, in each case, that are legally binding and have the force of law, promulgated or issued pursuant to such Laws, as each of the foregoing may be amended from time to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HIPAA</w:t>
      </w:r>
      <w:r>
        <w:rPr>
          <w:rFonts w:ascii="Times New Roman" w:hAnsi="Times New Roman"/>
          <w:color w:val="000000"/>
          <w:sz w:val="20"/>
        </w:rPr>
        <w:t>” means the Health Insurance Portability and Accountability Act of 1996, the Health Information Technology for Economic and Clinical Health Act (Title XIII of the American Recovery and Reinvestment Act of 2009) as set forth at 42 USC § 17931 et seq., as may be amended, and their implementing regulations.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HSR Act</w:t>
      </w:r>
      <w:r>
        <w:rPr>
          <w:rFonts w:ascii="Times New Roman" w:hAnsi="Times New Roman"/>
          <w:color w:val="000000"/>
          <w:sz w:val="20"/>
        </w:rPr>
        <w:t>” means the Hart-Scott-Rodino Antitrust Improvements Act of 1976, as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w:t>
      </w:r>
      <w:r>
        <w:rPr>
          <w:rFonts w:ascii="Times New Roman" w:hAnsi="Times New Roman"/>
          <w:color w:val="000000"/>
          <w:sz w:val="20"/>
        </w:rPr>
        <w:t>” means an Investigational New Drug Application submitted to the FDA pursuant to 21 C.F.R. Part 312 (as amended from time to time) with respect to the Products or the VIE Products, or any similar application or filing submitted to EMA or any other Governmental Body, and all supplements, amendments, variations, extensions and renewals thereof that may be submitted with respect to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Indebtedness</w:t>
      </w:r>
      <w:r>
        <w:rPr>
          <w:rFonts w:ascii="Times New Roman" w:hAnsi="Times New Roman"/>
          <w:color w:val="000000"/>
          <w:sz w:val="20"/>
        </w:rPr>
        <w:t>”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with respect to deposits or advances of any kind or for the deferred purchase price of the acquisition of a business or any property or services, including earn-out obligations (other than trade payables or accruals incurred in the ordinary course of business, consistent with applicable Contracts); (c) all obligations of such Person for the reimbursement of any obligor on any letter of credit, banker’s acceptance, performance bond, surety or similar credit transaction; (d) all obligations of such Person under Finance Leases; (e) guarantees with respect to any indebtedness of any other Person, (f) all indebtedness of others secured by any Liens or other claim on property owned or acquired by such Person, whether or not the obligations secured thereby have been assumed, (g) all obligations of such Person as an account party in respect of letters of credit and banker’s acceptance, (h) all obligations of such Person consisting of overdrafts (e.g., cash float reflected as a negative on the cash line), (i) any currency swaps, forward contracts, currency or other derivative or hedging arrangements of such Person, and (j) any declared but unpaid dividends, or other distributions or loans payable by such Person to its equityholders or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Intellectual Property</w:t>
      </w:r>
      <w:r>
        <w:rPr>
          <w:rFonts w:ascii="Times New Roman" w:hAnsi="Times New Roman"/>
          <w:color w:val="000000"/>
          <w:sz w:val="20"/>
        </w:rPr>
        <w:t>” means all rights, title and interests in and to, or arising out of or associated with intellectual property or other proprietary rights, in each case, whether protected, created or arising under the Laws of the United States or any other jurisdiction worldwide and whether registered or unregistered, including all rights in and to, arising out of, or associated therewith, including: (a) Trademarks; (b) Patents; (c) Trade Secrets; (d) Copyrights; and (e) Internet domain names and social media accounts and handles.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Intervening Event</w:t>
      </w:r>
      <w:r>
        <w:rPr>
          <w:rFonts w:ascii="Times New Roman" w:hAnsi="Times New Roman"/>
          <w:color w:val="000000"/>
          <w:sz w:val="20"/>
        </w:rPr>
        <w:t xml:space="preserve">” means a change, effect, event, circumstance, result, development, condition, occurrence, or other matter material to the Company that was not known or reasonably foreseeable to the Company Board or any committee thereof on the date of this Agreement (or if known, the consequences of which were not known or reasonably foreseeable to the Company Board or any committee thereof as of the date of this Agreement), which change, effect, event, circumstance, result, development, condition, occurrence, or other matter, or any consequence thereof, becomes known to or reasonably foreseeable by the Company Board or any committee thereof prior to the Company Stockholder Meeting;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no event will any Acquisition Proposal or any inquiry, offer, or proposal that constitutes or would reasonably be expected to lead to an Acquisition Proposal constitute an Intervening Event;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in no event shall any of the following constitute or contribute to an Intervening Event: (i) changes in the financial or securities markets or general economic or political conditions in the United States, (ii) changes (including changes of applicable Law) or conditions generally affecting the industry in which the Company and its Subsidiaries, taken as a whole, operate, or (iii) the Company’s meeting or exceeding any internal or published budgets, projections, forecasts or predictions of financial performance for any period.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Investment Securities</w:t>
      </w:r>
      <w:r>
        <w:rPr>
          <w:rFonts w:ascii="Times New Roman" w:hAnsi="Times New Roman"/>
          <w:color w:val="000000"/>
          <w:sz w:val="20"/>
        </w:rPr>
        <w:t>” means the Company’s and its Subsidiaries’ investment securities, including available for sale marketable debt securities, determined in accordance with GAAP, applied on a basis consistent with the Company’s application thereof in the Company’s consolidated financial statements.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IP Contracts</w:t>
      </w:r>
      <w:r>
        <w:rPr>
          <w:rFonts w:ascii="Times New Roman" w:hAnsi="Times New Roman"/>
          <w:color w:val="000000"/>
          <w:sz w:val="20"/>
        </w:rPr>
        <w:t>” means all: (a) Contracts pursuant to which any Person grants to the Company or any of its Subsidiaries any license, sublicense, consent, waiver, covenant not to sue or other right with respect to any Intellectual Property material to the business of the Company and its Subsidiaries, including all Exclusive Intellectual Property (but excluding non-exclusive licenses for Off-the-Shelf Software); (b) Contracts pursuant to which the Company or any of its Subsidiaries grants any Person any license, sublicense, consent, waiver, covenant not to sue or other right with respect to any Intellectual Property material to the business of the Company and its Subsidiaries as of the date of this Agreement; (c) co-existence agreements and settlement agreements relating to any Owned Intellectual Property or Exclusive Intellectual Property; (d) Contracts that provide for the invention, creation, conception or development of any Intellectual Property (i) by the Company or any of its Subsidiaries for any Person or (ii) by any other Person for the Company or any of its Subsidiaries; (e) Contracts that provide for the assignment or other transfer of any material Intellectual Property (i) to the Company or any of its Subsidiaries by any Person (excluding consulting agreements or employee agreements that contain assignments of Intellectual Property to the Company or any of its Subsidiaries substantially on a written form made available to Parent prior to the Closing) or (ii) by the Company or any of its Subsidiaries to any Person; and (f) Contracts pursuant to which the Company or any of its Subsidiaries is restricted from using or practicing any Intellectual Property that is material to the continued operation of the business of the Company and its Subsidiaries as of the date of this Agreement (excluding customary confidentiality obligations); excluding, in each case ((a),(b), (d), (e) and (f)), Routine Services Contracts entered into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Knowledge</w:t>
      </w:r>
      <w:r>
        <w:rPr>
          <w:rFonts w:ascii="Times New Roman" w:hAnsi="Times New Roman"/>
          <w:color w:val="000000"/>
          <w:sz w:val="20"/>
        </w:rPr>
        <w:t xml:space="preserve">” of Parent or the Company, as applicable means the actual knowledge, after reasonable inquiry, of the individuals listed in </w:t>
      </w:r>
      <w:r>
        <w:rPr>
          <w:rFonts w:ascii="Times New Roman" w:hAnsi="Times New Roman"/>
          <w:color w:val="000000"/>
          <w:sz w:val="20"/>
          <w:u w:val="single"/>
        </w:rPr>
        <w:t>Section 8.3(a)</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Law</w:t>
      </w:r>
      <w:r>
        <w:rPr>
          <w:rFonts w:ascii="Times New Roman" w:hAnsi="Times New Roman"/>
          <w:color w:val="000000"/>
          <w:sz w:val="20"/>
        </w:rPr>
        <w:t>” means any applicable foreign or U.S. federal, state or local law (including common law), treaty, act, statute, legislation, code, edict, order, ordinance, rule, regulation, judgment, injunction, decree, proclamation, directive, pronouncement, writ, constitution, convention, ruling, requirement (licensing or otherwise), specification, determination, decision, or judicial opinion that is or has been issued, enacted, adopted, passed, approved, promulgated, made, implemented or otherwise put into effect by or under the authority of any Governmental Body, and, for the sake of clarity, includes, but is not limited to, Healthcare Laws and Environmental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Liability</w:t>
      </w:r>
      <w:r>
        <w:rPr>
          <w:rFonts w:ascii="Times New Roman" w:hAnsi="Times New Roman"/>
          <w:color w:val="000000"/>
          <w:sz w:val="20"/>
        </w:rPr>
        <w:t>” means, with respect to any Person, any debt, liability, claim, demand, expense, commitment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primary or secondary, matured or unmatured, billed or unbilled, executory, determined, determinable or otherwise, and whether or not the same is required to be accrued on the financial statements of that Person in accordance with GAAP.</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Liens</w:t>
      </w:r>
      <w:r>
        <w:rPr>
          <w:rFonts w:ascii="Times New Roman" w:hAnsi="Times New Roman"/>
          <w:color w:val="000000"/>
          <w:sz w:val="20"/>
        </w:rPr>
        <w:t>” means any lien, mortgage, security interest, pledge, encumbrance, deed of trust, security interest, claim, lease, license, charge, option, preemptive right, subscription right, easement, servitude, proxy, voting trust or agreement, transfer restriction under any shareholder or similar agreement, encumbrance or restriction.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MHRA</w:t>
      </w:r>
      <w:r>
        <w:rPr>
          <w:rFonts w:ascii="Times New Roman" w:hAnsi="Times New Roman"/>
          <w:color w:val="000000"/>
          <w:sz w:val="20"/>
        </w:rPr>
        <w:t>” means the Medicines Healthcare products Regulatory Agency.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 Date</w:t>
      </w:r>
      <w:r>
        <w:rPr>
          <w:rFonts w:ascii="Times New Roman" w:hAnsi="Times New Roman"/>
          <w:color w:val="000000"/>
          <w:sz w:val="20"/>
        </w:rPr>
        <w:t>” has the meaning set forth in the CVR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Non-Controlled VIE</w:t>
      </w:r>
      <w:r>
        <w:rPr>
          <w:rFonts w:ascii="Times New Roman" w:hAnsi="Times New Roman"/>
          <w:color w:val="000000"/>
          <w:sz w:val="20"/>
        </w:rPr>
        <w:t xml:space="preserve">” has the meaning set forth in </w:t>
      </w:r>
      <w:r>
        <w:rPr>
          <w:rFonts w:ascii="Times New Roman" w:hAnsi="Times New Roman"/>
          <w:color w:val="000000"/>
          <w:sz w:val="20"/>
          <w:u w:val="single"/>
        </w:rPr>
        <w:t>Section 8.3</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Notice Period</w:t>
      </w:r>
      <w:r>
        <w:rPr>
          <w:rFonts w:ascii="Times New Roman" w:hAnsi="Times New Roman"/>
          <w:color w:val="000000"/>
          <w:sz w:val="20"/>
        </w:rPr>
        <w:t xml:space="preserve">” means the period beginning at 5:00 p.m. New York City Time on the day of delivery by the Company to Parent of a Determination Notice (even if such Determination Notice is delivered after 5:00 p.m. New York City Time) and ending on the fourth (4th) Business Day thereafter at 5:00 p.m. New York City Time; </w:t>
      </w:r>
      <w:r>
        <w:rPr>
          <w:rFonts w:ascii="Times New Roman" w:hAnsi="Times New Roman"/>
          <w:color w:val="000000"/>
          <w:sz w:val="20"/>
          <w:u w:val="single"/>
        </w:rPr>
        <w:t>provided</w:t>
      </w:r>
      <w:r>
        <w:rPr>
          <w:rFonts w:ascii="Times New Roman" w:hAnsi="Times New Roman"/>
          <w:color w:val="000000"/>
          <w:sz w:val="20"/>
        </w:rPr>
        <w:t xml:space="preserve"> that, with respect to any change in the financial terms or any material terms of any Superior Proposal, the Notice Period will extend until 5:00 p.m. New York City Time on the second (2nd) Business Day after delivery of such revised Determination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Off-the-Shelf Software</w:t>
      </w:r>
      <w:r>
        <w:rPr>
          <w:rFonts w:ascii="Times New Roman" w:hAnsi="Times New Roman"/>
          <w:color w:val="000000"/>
          <w:sz w:val="20"/>
        </w:rPr>
        <w:t>” means software, other than open source software, obtained from a third party (a) on general, non-negotiated, commercial terms and that continues to be widely available on such commercial terms, (b) that is not distributed with or incorporated in any product or services of the Company or any of its Subsidiaries, (c) that is used for business infrastructure or other internal purposes and (d) was licensed for fixed payments of less than $500,000 in the aggregate or annual payments of less than $500,000 per year.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Owned Intellectual Property</w:t>
      </w:r>
      <w:r>
        <w:rPr>
          <w:rFonts w:ascii="Times New Roman" w:hAnsi="Times New Roman"/>
          <w:color w:val="000000"/>
          <w:sz w:val="20"/>
        </w:rPr>
        <w:t>” means all Intellectual Property that is owned or purported to be owned (in whole or in part) by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Parent Material Adverse Effect</w:t>
      </w:r>
      <w:r>
        <w:rPr>
          <w:rFonts w:ascii="Times New Roman" w:hAnsi="Times New Roman"/>
          <w:color w:val="000000"/>
          <w:sz w:val="20"/>
        </w:rPr>
        <w:t>” means any Effect, alone or taken together, that would prevent or materially impair or materially delay the ability of Parent or Merger Sub to timely perform its obligations under this Agreement or to timely consummate the Contemplated Transactions.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Patents</w:t>
      </w:r>
      <w:r>
        <w:rPr>
          <w:rFonts w:ascii="Times New Roman" w:hAnsi="Times New Roman"/>
          <w:color w:val="000000"/>
          <w:sz w:val="20"/>
        </w:rPr>
        <w:t>” means all patents, issued patents (including issued utility and design patents), and any pending applications for the same, including any divisionals, provisionals, revisions, supplementary protection certificates, continuations, continuations-in-part, reissues, re-examinations, substitutions, extensions and renewals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Permits</w:t>
      </w:r>
      <w:r>
        <w:rPr>
          <w:rFonts w:ascii="Times New Roman" w:hAnsi="Times New Roman"/>
          <w:color w:val="000000"/>
          <w:sz w:val="20"/>
        </w:rPr>
        <w:t>” means all approvals, authorizations, certificates, registrations, exemptions, consents, licenses, orders, permits, waivers, qualifications, variances, and other similar authorizations of all Governmental Bodies and all other Persons.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Liens</w:t>
      </w:r>
      <w:r>
        <w:rPr>
          <w:rFonts w:ascii="Times New Roman" w:hAnsi="Times New Roman"/>
          <w:color w:val="000000"/>
          <w:sz w:val="20"/>
        </w:rPr>
        <w:t xml:space="preserve">” means (a) statutory Liens for current Taxes or other governmental charges not yet due and payable or the amount or validity of which is being contested in good faith by appropriate proceedings and for which appropriate reserves are established in the financial statements in accordance with GAAP, (b) mechanics’, carriers’, workers’, repairers’, contractors’, subcontractors’, suppliers’ and similar statutory Liens arising or incurred in the ordinary course of business in respect of the construction, maintenance, repair or operations of assets for amounts that are not delinquent, that are not, individually or in the aggregate, material, and which do not and will not violate or constitute a breach of or default under any leases, covenants or other material agreements with respect to the Company Real Property (with or without notice or lapse of time or both), (c) zoning, entitlement, building and other land use regulations imposed by governmental agencies having jurisdiction over the Company Real Property Leases which are not violated by the current use and operation of the leased Company Real Property and which do not, individually or in the aggregate, materially impair the value of, or materially interfere with the present use of, such Company Real Property, (d) covenants, conditions, restrictions, easements and other similar matters of record affecting title to the Company Real Property Leases that do not adversely affect the occupancy, operation or use of such leased real property for the purposes for which it is currently used or proposed to be used in connection with the Company’s or its Subsidiaries’ business, (e) Liens arising under workers’ compensation, unemployment insurance and social security, (f) purchase money liens for personal property and Liens securing rental payments under Finance Leases for personal property, (g) any non-exclusive licenses or sublicenses granted in the ordinary course of business to any contract research organization, consultant, laboratory services provider, contract manufacturing organization or similar service provider (but solely to the extent such non-exclusive license or sublicense would comply with </w:t>
      </w:r>
      <w:r>
        <w:rPr>
          <w:rFonts w:ascii="Times New Roman" w:hAnsi="Times New Roman"/>
          <w:color w:val="000000"/>
          <w:sz w:val="20"/>
          <w:u w:val="single"/>
        </w:rPr>
        <w:t>Section 5.1(b)(xviii)</w:t>
      </w:r>
      <w:r>
        <w:rPr>
          <w:rFonts w:ascii="Times New Roman" w:hAnsi="Times New Roman"/>
          <w:color w:val="000000"/>
          <w:sz w:val="20"/>
        </w:rPr>
        <w:t xml:space="preserve"> hereof if granted after the date hereof), (h) restrictions on the transfer of securities arising under federal and state securities Laws and (i) those matters identified in the Permitted Liens set forth in </w:t>
      </w:r>
      <w:r>
        <w:rPr>
          <w:rFonts w:ascii="Times New Roman" w:hAnsi="Times New Roman"/>
          <w:color w:val="000000"/>
          <w:sz w:val="20"/>
          <w:u w:val="single"/>
        </w:rPr>
        <w:t>Section 8.3(c)</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means an individual, a partnership, a corporation, a limited liability company, an unlimited liability company, an association, a joint stock company, a trust, a joint venture, an unincorporated organization, or any other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Personal Information</w:t>
      </w:r>
      <w:r>
        <w:rPr>
          <w:rFonts w:ascii="Times New Roman" w:hAnsi="Times New Roman"/>
          <w:color w:val="000000"/>
          <w:sz w:val="20"/>
        </w:rPr>
        <w:t>” means any data or information in any media that, alone or in combination with other information, (a) can be used to identify, or is otherwise associated with a natural person, or (b) that is considered “personally identifiable information,” “personal information,” “personal data,” “protected health information,” “human omic data,” “sensitive data” or any similar term defined by any applicable Privacy Laws. With respect to the DSP, the term “Personal Information” shall include information regardless of whether it is anonymized, de-identified, pseudonymized or encrypted.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Plan</w:t>
      </w:r>
      <w:r>
        <w:rPr>
          <w:rFonts w:ascii="Times New Roman" w:hAnsi="Times New Roman"/>
          <w:color w:val="000000"/>
          <w:sz w:val="20"/>
        </w:rPr>
        <w:t>” means an “employee benefit plan” within the meaning of Section 3(3) of ERISA and any other compensation or benefit plan, policy, program, arrangement, contract or agreement, whether written or unwritten, funded or unfunded, subject to ERISA or not, and covering one or more natural Persons, including any stock purchase, stock option, stock appreciation right, restricted stock, restricted stock unit, performance stock unit, other equity or equity-based, phantom equity, severance, separation, termination, retention, employment, offer letter, consulting, change in control, bonus, incentive, deferred compensation, pension, profit sharing, retirement, supplemental retirement, employee loan, hospital, medical, health, welfare, 401(k), dental, vision, workers’ compensation, disability, life insurance, death benefit, vacation, paid time off, leave of absence, employee assistance, tuition assistance, tax gross up or reimbursement or other fringe benefit plan, policy, program, arrangement or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Privacy Laws</w:t>
      </w:r>
      <w:r>
        <w:rPr>
          <w:rFonts w:ascii="Times New Roman" w:hAnsi="Times New Roman"/>
          <w:color w:val="000000"/>
          <w:sz w:val="20"/>
        </w:rPr>
        <w:t>” means any applicable foreign or domestic Laws, legal requirements and self-regulatory guidelines relating to the receipt, collection, compilation, use, storage, access, Processing, sharing, safeguarding, and security (both technical and physical) disposal, destruction, disclosure or transfer (including cross border) of Personal Information or otherwise relating to the privacy, data, security, data protection, operational resilience, information security and AI Technologies including, but not limited to, the California Consumer Privacy Act, HIPAA, the DSP, the General Data Protection Regulation (EU) 2016/679, the UK Data Protection Act 2018 (“</w:t>
      </w:r>
      <w:r>
        <w:rPr>
          <w:rFonts w:ascii="Times New Roman" w:hAnsi="Times New Roman"/>
          <w:color w:val="000000"/>
          <w:sz w:val="20"/>
          <w:u w:val="single"/>
        </w:rPr>
        <w:t>DPA</w:t>
      </w:r>
      <w:r>
        <w:rPr>
          <w:rFonts w:ascii="Times New Roman" w:hAnsi="Times New Roman"/>
          <w:color w:val="000000"/>
          <w:sz w:val="20"/>
        </w:rPr>
        <w:t>”), the UK General Data Protection Regulation as defined by the DPA, as amended by the Data Protection, Privacy and Electronic Communications (Amendments etc.) (EU Exit) Regulations 2019 and Data (Use and Access) Act 2025, Directive (EU) 2022/2555, and Regulation (EU) 2024/1689 (in each case including as implemented in local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Process</w:t>
      </w:r>
      <w:r>
        <w:rPr>
          <w:rFonts w:ascii="Times New Roman" w:hAnsi="Times New Roman"/>
          <w:color w:val="000000"/>
          <w:sz w:val="20"/>
        </w:rPr>
        <w:t>”, “</w:t>
      </w:r>
      <w:r>
        <w:rPr>
          <w:rFonts w:ascii="Times New Roman" w:hAnsi="Times New Roman"/>
          <w:color w:val="000000"/>
          <w:sz w:val="20"/>
          <w:u w:val="single"/>
        </w:rPr>
        <w:t>Processed</w:t>
      </w:r>
      <w:r>
        <w:rPr>
          <w:rFonts w:ascii="Times New Roman" w:hAnsi="Times New Roman"/>
          <w:color w:val="000000"/>
          <w:sz w:val="20"/>
        </w:rPr>
        <w:t>” or “</w:t>
      </w:r>
      <w:r>
        <w:rPr>
          <w:rFonts w:ascii="Times New Roman" w:hAnsi="Times New Roman"/>
          <w:color w:val="000000"/>
          <w:sz w:val="20"/>
          <w:u w:val="single"/>
        </w:rPr>
        <w:t>Processing</w:t>
      </w:r>
      <w:r>
        <w:rPr>
          <w:rFonts w:ascii="Times New Roman" w:hAnsi="Times New Roman"/>
          <w:color w:val="000000"/>
          <w:sz w:val="20"/>
        </w:rPr>
        <w:t>” means any operation or set of operations which is or are performed on Personal Information, whether or not by automatic means, such as the use, collection, access, acquisition, creation, derivation, processing, storage, maintenance, recording, organization, adaption, alteration, correction, transfer, transmission, retrieval, consultation, disclosure, making available, alignment, retention, dissemination, blocking, deletion, erasure, destruction, or combination of such Personal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Product</w:t>
      </w:r>
      <w:r>
        <w:rPr>
          <w:rFonts w:ascii="Times New Roman" w:hAnsi="Times New Roman"/>
          <w:color w:val="000000"/>
          <w:sz w:val="20"/>
        </w:rPr>
        <w:t>” means any product that constitutes, incorporates or includes (a) the product candidates referred to as BPL-003 and VLS-01, (b) any other product candidate researched, developed, tested, labeled, manufactured, stored, imported, exported, marketed or distributed by or on behalf of the Company or its Subsidiaries (excluding the VIEs), and (c) any derivative of such product candidate described in sub-clause (a) or (b).</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Release</w:t>
      </w:r>
      <w:r>
        <w:rPr>
          <w:rFonts w:ascii="Times New Roman" w:hAnsi="Times New Roman"/>
          <w:color w:val="000000"/>
          <w:sz w:val="20"/>
        </w:rPr>
        <w:t>” means any release, spill, emission, discharge, leaking, pumping, injection, deposit, disposal, dispersal, leaching, migration, or other movement or presence in, into or through the indoor or outdoor environment (including ambient air, surface water, groundwater and surface or subsurface strata) or at or from any property.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Representative</w:t>
      </w:r>
      <w:r>
        <w:rPr>
          <w:rFonts w:ascii="Times New Roman" w:hAnsi="Times New Roman"/>
          <w:color w:val="000000"/>
          <w:sz w:val="20"/>
        </w:rPr>
        <w:t>” means the officers, directors, managers, members, employees, accountants, consultants, legal counsel, financial advisors and authorized agents of a party.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Routine Services Contracts</w:t>
      </w:r>
      <w:r>
        <w:rPr>
          <w:rFonts w:ascii="Times New Roman" w:hAnsi="Times New Roman"/>
          <w:color w:val="000000"/>
          <w:sz w:val="20"/>
        </w:rPr>
        <w:t>” means (a) materials transfer agreements, manufacturing services agreements, clinical contract services agreements, clinical scale agreements, master services agreements, clinical trial agreements, contract research agreements or other ordinary course services agreements, in each case, that grant non-exclusive rights to use Company Intellectual Property solely to conduct research, manufacturing, clinical trial activities, or other services within the scope of the applicable agreement and that do not otherwise involve a grant of rights to use any Company Intellectual Property for the research, supply, manufacturing, development or commercialization of a Product or (b) Contracts pursuant to which the Company or any of its Subsidiaries is granted non-exclusive rights to use the Company Systems or any research tools and that do not otherwise involve any assignment, transfer or grant of rights with respect to any Company Intellectual Property (except, with respect to research tools, non-exclusive licenses to use modified versions of the research tools granted back to the provider of such research tools).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Sales Agent</w:t>
      </w:r>
      <w:r>
        <w:rPr>
          <w:rFonts w:ascii="Times New Roman" w:hAnsi="Times New Roman"/>
          <w:color w:val="000000"/>
          <w:sz w:val="20"/>
        </w:rPr>
        <w:t>” means Jefferies LLC, as sales agent and/or principal under the Sales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Sales Agreement</w:t>
      </w:r>
      <w:r>
        <w:rPr>
          <w:rFonts w:ascii="Times New Roman" w:hAnsi="Times New Roman"/>
          <w:color w:val="000000"/>
          <w:sz w:val="20"/>
        </w:rPr>
        <w:t>” means that certain Open Market Sales Agreement, dated March 6, 2026, by and between the Company and Sales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Sanctioned Country</w:t>
      </w:r>
      <w:r>
        <w:rPr>
          <w:rFonts w:ascii="Times New Roman" w:hAnsi="Times New Roman"/>
          <w:color w:val="000000"/>
          <w:sz w:val="20"/>
        </w:rPr>
        <w:t>” means (a) Russia; and (b) any country or territory, or the government thereof, which is currently the subject or target of any Sanctions Laws, including at the time of this Agreement, Belarus, Cuba, the Crimea region, the so-called “Donetsk People’s Republic,” and the so-called “Luhansk People’s Republic,”, non-government controlled areas of the Zaporizhzhia and Kherson regions of Ukraine, Iran, and North Korea.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Sanctioned Person</w:t>
      </w:r>
      <w:r>
        <w:rPr>
          <w:rFonts w:ascii="Times New Roman" w:hAnsi="Times New Roman"/>
          <w:color w:val="000000"/>
          <w:sz w:val="20"/>
        </w:rPr>
        <w:t xml:space="preserve">” means a Person: (a) listed on any Sanctions Laws list of designated Persons, including OFAC’s Specially Designated Nationals and Blocked Persons List, OFAC’s Foreign Sanctions Evaders List, OFAC’s Sectoral Sanctions Identifications List, the U.S. Department of Commerce’s Entity, Denied Persons, or Unverified Lists, the U.S. Department of State’s Nonproliferation Sanctions Lists or Debarred List, the EU Consolidated List, the UN Security Council Consolidated List, or His Majesty’s Treasury’s Consolidated List of Financial Targets, (b) located, organized, or ordinarily resident in, a Sanctioned Country, or (c) fifty percent (50%) or greater owned by, controlled by, or otherwise acting for or on behalf of one or more Persons described in </w:t>
      </w:r>
      <w:r>
        <w:rPr>
          <w:rFonts w:ascii="Times New Roman" w:hAnsi="Times New Roman"/>
          <w:color w:val="000000"/>
          <w:sz w:val="20"/>
          <w:u w:val="single"/>
        </w:rPr>
        <w:t>clauses (a)</w:t>
      </w:r>
      <w:r>
        <w:rPr>
          <w:rFonts w:ascii="Times New Roman" w:hAnsi="Times New Roman"/>
          <w:color w:val="000000"/>
          <w:sz w:val="20"/>
        </w:rPr>
        <w:t>-</w:t>
      </w:r>
      <w:r>
        <w:rPr>
          <w:rFonts w:ascii="Times New Roman" w:hAnsi="Times New Roman"/>
          <w:color w:val="000000"/>
          <w:sz w:val="20"/>
          <w:u w:val="single"/>
        </w:rPr>
        <w:t>(b)</w:t>
      </w:r>
      <w:r>
        <w:rPr>
          <w:rFonts w:ascii="Times New Roman" w:hAnsi="Times New Roman"/>
          <w:color w:val="000000"/>
          <w:sz w:val="20"/>
        </w:rPr>
        <w:t xml:space="preserve"> above.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Sanctions Laws</w:t>
      </w:r>
      <w:r>
        <w:rPr>
          <w:rFonts w:ascii="Times New Roman" w:hAnsi="Times New Roman"/>
          <w:color w:val="000000"/>
          <w:sz w:val="20"/>
        </w:rPr>
        <w:t>” means any U.S. or non-U.S. Laws related to economic or trade sanctions, including those administered by the Office of Foreign Assets Control of the U.S. Department of the Treasury (“</w:t>
      </w:r>
      <w:r>
        <w:rPr>
          <w:rFonts w:ascii="Times New Roman" w:hAnsi="Times New Roman"/>
          <w:color w:val="000000"/>
          <w:sz w:val="20"/>
          <w:u w:val="single"/>
        </w:rPr>
        <w:t>OFAC</w:t>
      </w:r>
      <w:r>
        <w:rPr>
          <w:rFonts w:ascii="Times New Roman" w:hAnsi="Times New Roman"/>
          <w:color w:val="000000"/>
          <w:sz w:val="20"/>
        </w:rPr>
        <w:t>”), the U.S. Department of State, the European Union, any European Union Member State, the United Nations Security Council, and His Majesty’s Treasury of the United Kingdom.</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xml:space="preserve">” means, with respect to any Person, any corporation, partnership, association, trust, limited liability company, unlimited liability company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trust,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trust,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trust, limited liability company or other business entity. A Subsidiary of a Person will also include any variable interest entity which is consolidated with such Person under applicable accounting rules; </w:t>
      </w:r>
      <w:r>
        <w:rPr>
          <w:rFonts w:ascii="Times New Roman" w:hAnsi="Times New Roman"/>
          <w:color w:val="000000"/>
          <w:sz w:val="20"/>
          <w:u w:val="single"/>
        </w:rPr>
        <w:t>provided</w:t>
      </w:r>
      <w:r>
        <w:rPr>
          <w:rFonts w:ascii="Times New Roman" w:hAnsi="Times New Roman"/>
          <w:color w:val="000000"/>
          <w:sz w:val="20"/>
        </w:rPr>
        <w:t xml:space="preserve">, that with respect to the business of the Non-Controlled VIE, the Non-Controlled VIE shall not constitute a Subsidiary for purposes of </w:t>
      </w:r>
      <w:r>
        <w:rPr>
          <w:rFonts w:ascii="Times New Roman" w:hAnsi="Times New Roman"/>
          <w:color w:val="000000"/>
          <w:sz w:val="20"/>
          <w:u w:val="single"/>
        </w:rPr>
        <w:t>Section 5.1(b)(xii)(A)</w:t>
      </w:r>
      <w:r>
        <w:rPr>
          <w:rFonts w:ascii="Times New Roman" w:hAnsi="Times New Roman"/>
          <w:color w:val="000000"/>
          <w:sz w:val="20"/>
        </w:rPr>
        <w:t xml:space="preserve">, </w:t>
      </w:r>
      <w:r>
        <w:rPr>
          <w:rFonts w:ascii="Times New Roman" w:hAnsi="Times New Roman"/>
          <w:color w:val="000000"/>
          <w:sz w:val="20"/>
          <w:u w:val="single"/>
        </w:rPr>
        <w:t>Section 5.1(b)(xvii),</w:t>
      </w:r>
      <w:r>
        <w:rPr>
          <w:rFonts w:ascii="Times New Roman" w:hAnsi="Times New Roman"/>
          <w:color w:val="000000"/>
          <w:sz w:val="20"/>
        </w:rPr>
        <w:t> </w:t>
      </w:r>
      <w:r>
        <w:rPr>
          <w:rFonts w:ascii="Times New Roman" w:hAnsi="Times New Roman"/>
          <w:color w:val="000000"/>
          <w:sz w:val="20"/>
          <w:u w:val="single"/>
        </w:rPr>
        <w:t>Section 5.1(b)(xiii)</w:t>
      </w:r>
      <w:r>
        <w:rPr>
          <w:rFonts w:ascii="Times New Roman" w:hAnsi="Times New Roman"/>
          <w:color w:val="000000"/>
          <w:sz w:val="20"/>
        </w:rPr>
        <w:t xml:space="preserve">, </w:t>
      </w:r>
      <w:r>
        <w:rPr>
          <w:rFonts w:ascii="Times New Roman" w:hAnsi="Times New Roman"/>
          <w:color w:val="000000"/>
          <w:sz w:val="20"/>
          <w:u w:val="single"/>
        </w:rPr>
        <w:t>Section 5.1(b)(xviii)</w:t>
      </w:r>
      <w:r>
        <w:rPr>
          <w:rFonts w:ascii="Times New Roman" w:hAnsi="Times New Roman"/>
          <w:color w:val="000000"/>
          <w:sz w:val="20"/>
        </w:rPr>
        <w:t xml:space="preserve">, and, solely with respect to </w:t>
      </w:r>
      <w:r>
        <w:rPr>
          <w:rFonts w:ascii="Times New Roman" w:hAnsi="Times New Roman"/>
          <w:color w:val="000000"/>
          <w:sz w:val="20"/>
          <w:u w:val="single"/>
        </w:rPr>
        <w:t>Section 5.1(b)(xii)(A)</w:t>
      </w:r>
      <w:r>
        <w:rPr>
          <w:rFonts w:ascii="Times New Roman" w:hAnsi="Times New Roman"/>
          <w:color w:val="000000"/>
          <w:sz w:val="20"/>
        </w:rPr>
        <w:t xml:space="preserve">, </w:t>
      </w:r>
      <w:r>
        <w:rPr>
          <w:rFonts w:ascii="Times New Roman" w:hAnsi="Times New Roman"/>
          <w:color w:val="000000"/>
          <w:sz w:val="20"/>
          <w:u w:val="single"/>
        </w:rPr>
        <w:t>Section 5.1(b)(xvii),</w:t>
      </w:r>
      <w:r>
        <w:rPr>
          <w:rFonts w:ascii="Times New Roman" w:hAnsi="Times New Roman"/>
          <w:color w:val="000000"/>
          <w:sz w:val="20"/>
        </w:rPr>
        <w:t> </w:t>
      </w:r>
      <w:r>
        <w:rPr>
          <w:rFonts w:ascii="Times New Roman" w:hAnsi="Times New Roman"/>
          <w:color w:val="000000"/>
          <w:sz w:val="20"/>
          <w:u w:val="single"/>
        </w:rPr>
        <w:t>Section 5.1(b)(xiii)</w:t>
      </w:r>
      <w:r>
        <w:rPr>
          <w:rFonts w:ascii="Times New Roman" w:hAnsi="Times New Roman"/>
          <w:color w:val="000000"/>
          <w:sz w:val="20"/>
        </w:rPr>
        <w:t xml:space="preserve"> and </w:t>
      </w:r>
      <w:r>
        <w:rPr>
          <w:rFonts w:ascii="Times New Roman" w:hAnsi="Times New Roman"/>
          <w:color w:val="000000"/>
          <w:sz w:val="20"/>
          <w:u w:val="single"/>
        </w:rPr>
        <w:t>Section 5.1(b)(xviii)</w:t>
      </w:r>
      <w:r>
        <w:rPr>
          <w:rFonts w:ascii="Times New Roman" w:hAnsi="Times New Roman"/>
          <w:color w:val="000000"/>
          <w:sz w:val="20"/>
        </w:rPr>
        <w:t xml:space="preserve">, </w:t>
      </w:r>
      <w:r>
        <w:rPr>
          <w:rFonts w:ascii="Times New Roman" w:hAnsi="Times New Roman"/>
          <w:color w:val="000000"/>
          <w:sz w:val="20"/>
          <w:u w:val="single"/>
        </w:rPr>
        <w:t>Section 5.1(b)(xxvii)</w:t>
      </w:r>
      <w:r>
        <w:rPr>
          <w:rFonts w:ascii="Times New Roman" w:hAnsi="Times New Roman"/>
          <w:color w:val="000000"/>
          <w:sz w:val="20"/>
        </w:rPr>
        <w:t xml:space="preserv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Equity Award Fair Market Value</w:t>
      </w:r>
      <w:r>
        <w:rPr>
          <w:rFonts w:ascii="Times New Roman" w:hAnsi="Times New Roman"/>
          <w:color w:val="000000"/>
          <w:sz w:val="20"/>
        </w:rPr>
        <w:t xml:space="preserve">” means, for a Subsidiary Equity Award, the product of (a) the number of shares of stock of the applicable Subsidiary of the Company subject to the Subsidiary Equity Award, as of immediately prior to the Effective Time, </w:t>
      </w:r>
      <w:r>
        <w:rPr>
          <w:rFonts w:ascii="Times New Roman" w:hAnsi="Times New Roman"/>
          <w:i/>
          <w:color w:val="000000"/>
          <w:sz w:val="20"/>
        </w:rPr>
        <w:t>multiplied by</w:t>
      </w:r>
      <w:r>
        <w:rPr>
          <w:rFonts w:ascii="Times New Roman" w:hAnsi="Times New Roman"/>
          <w:color w:val="000000"/>
          <w:sz w:val="20"/>
        </w:rPr>
        <w:t xml:space="preserve"> (b) the excess, if any, of (x) the fair market value of a share of stock of such Subsidiary of the Company, as of the most recently completed fiscal quarter prior to the Closing Date, as determined by the Company in good faith based on the financial statements of such Subsidiary as of the most recently completed fiscal quarter prior to the Closing Date, over (y) the per share exercise price of such Subsidiary Equity Award.  For the avoidance of doubt, if the per share exercise price of such Subsidiary Equity Award is greater than or equal to the amount set forth in clause (x), then the Subsidiary Equity Award Fair Market Value shall be zero (0).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Equity Plan</w:t>
      </w:r>
      <w:r>
        <w:rPr>
          <w:rFonts w:ascii="Times New Roman" w:hAnsi="Times New Roman"/>
          <w:color w:val="000000"/>
          <w:sz w:val="20"/>
        </w:rPr>
        <w:t>” means each of the IntelGenx Corp. Stock Option Plan, GABA Therapeutics Stock Incentive Plan and the FSV7, Inc. 2020 Equity Incentive Plan, each as amended and restated.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Stock Option</w:t>
      </w:r>
      <w:r>
        <w:rPr>
          <w:rFonts w:ascii="Times New Roman" w:hAnsi="Times New Roman"/>
          <w:color w:val="000000"/>
          <w:sz w:val="20"/>
        </w:rPr>
        <w:t>” means an option to purchase shares of stock of a Subsidiary of the Company granted under a Subsidiary Equity Plan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Superior Proposal</w:t>
      </w:r>
      <w:r>
        <w:rPr>
          <w:rFonts w:ascii="Times New Roman" w:hAnsi="Times New Roman"/>
          <w:color w:val="000000"/>
          <w:sz w:val="20"/>
        </w:rPr>
        <w:t xml:space="preserve">” means any written </w:t>
      </w:r>
      <w:r>
        <w:rPr>
          <w:rFonts w:ascii="Times New Roman" w:hAnsi="Times New Roman"/>
          <w:i/>
          <w:color w:val="000000"/>
          <w:sz w:val="20"/>
        </w:rPr>
        <w:t xml:space="preserve">bona fide </w:t>
      </w:r>
      <w:r>
        <w:rPr>
          <w:rFonts w:ascii="Times New Roman" w:hAnsi="Times New Roman"/>
          <w:color w:val="000000"/>
          <w:sz w:val="20"/>
        </w:rPr>
        <w:t xml:space="preserve">(as reasonably determined by the Company Board in good faith) Acquisition Proposal received after the date of this Agreement that did not, directly or indirectly, result from a material breach of </w:t>
      </w:r>
      <w:r>
        <w:rPr>
          <w:rFonts w:ascii="Times New Roman" w:hAnsi="Times New Roman"/>
          <w:color w:val="000000"/>
          <w:sz w:val="20"/>
          <w:u w:val="single"/>
        </w:rPr>
        <w:t>Section 5.3(a)</w:t>
      </w:r>
      <w:r>
        <w:rPr>
          <w:rFonts w:ascii="Times New Roman" w:hAnsi="Times New Roman"/>
          <w:color w:val="000000"/>
          <w:sz w:val="20"/>
        </w:rPr>
        <w:t xml:space="preserve"> (except the references in the definition thereof to “twenty percent (20%)” will be replaced by “fifty percent (50%)”) that the Company Board or a committee thereof has determined in good faith, after consultation with outside counsel and its independent financial advisor, is superior to the Acquisition Proposal reflected in this Agreement, and is reasonably likely to be consummated in accordance with its terms, taking into account all of the terms and conditions (including all of the financial, regulatory, financing, conditionality, legal and other terms, as well as certainty of closing) and all other aspects of such Acquisition Proposal (including any changes to the terms of this Agreement proposed by Parent).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w:t>
      </w:r>
      <w:r>
        <w:rPr>
          <w:rFonts w:ascii="Times New Roman" w:hAnsi="Times New Roman"/>
          <w:color w:val="000000"/>
          <w:sz w:val="20"/>
        </w:rPr>
        <w:t>” or “</w:t>
      </w:r>
      <w:r>
        <w:rPr>
          <w:rFonts w:ascii="Times New Roman" w:hAnsi="Times New Roman"/>
          <w:color w:val="000000"/>
          <w:sz w:val="20"/>
          <w:u w:val="single"/>
        </w:rPr>
        <w:t>Taxes</w:t>
      </w:r>
      <w:r>
        <w:rPr>
          <w:rFonts w:ascii="Times New Roman" w:hAnsi="Times New Roman"/>
          <w:color w:val="000000"/>
          <w:sz w:val="20"/>
        </w:rPr>
        <w:t>” means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tariff, escheat or unclaimed property, real property, personal property, sales, use, transfer, registration, value-added, alternative or add-on minimum, or other tax of any kind or any charge of any kind in the nature of (or similar to) taxes whatsoever, including any interest, penalty, or addition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 Returns</w:t>
      </w:r>
      <w:r>
        <w:rPr>
          <w:rFonts w:ascii="Times New Roman" w:hAnsi="Times New Roman"/>
          <w:color w:val="000000"/>
          <w:sz w:val="20"/>
        </w:rPr>
        <w:t>” means any return, report, election, designation, information return or other document (including schedules or attachments thereto and any amendments thereof) filed or required to be filed with any Governmental Body in connection with the administration, determination, assessment or collection of any Tax.</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Trade Secrets</w:t>
      </w:r>
      <w:r>
        <w:rPr>
          <w:rFonts w:ascii="Times New Roman" w:hAnsi="Times New Roman"/>
          <w:color w:val="000000"/>
          <w:sz w:val="20"/>
        </w:rPr>
        <w:t>” means any and all proprietary or confidential information, including trade secrets, know-how, customer, distributor, consumer and supplier lists and data, clinical and technical data, operational data, engineering information, biological, chemical, biochemical, toxicological, pharmacological and metabolic material and information and data relating thereto, formulation, clinical, analytical and stability information and data, inventions (including conceptions or reductions to practice), invention and technical reports, pricing information, research and development information, technology, techniques, procedures, processes, compositions, formulae, methods, formulations, discoveries, specifications, designs, drawings, algorithms, plans, improvements, models, techniques and methodologies.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Trademarks</w:t>
      </w:r>
      <w:r>
        <w:rPr>
          <w:rFonts w:ascii="Times New Roman" w:hAnsi="Times New Roman"/>
          <w:color w:val="000000"/>
          <w:sz w:val="20"/>
        </w:rPr>
        <w:t>” means trademarks, service marks, corporate names, trade names, brand names, product names, logos, slogans, trade dress and other indicia of source or origin, any applications and registrations for any of the foregoing and all renewals and extensions thereof, and all goodwill associated therewith and symbolized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 Taxes</w:t>
      </w:r>
      <w:r>
        <w:rPr>
          <w:rFonts w:ascii="Times New Roman" w:hAnsi="Times New Roman"/>
          <w:color w:val="000000"/>
          <w:sz w:val="20"/>
        </w:rPr>
        <w:t>” means sales, transfer, stamp, stock transfer, documentary, registration, value added, use, real property transfer and any similar Taxes and fees.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VIEs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8.3(b)</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VIE Product</w:t>
      </w:r>
      <w:r>
        <w:rPr>
          <w:rFonts w:ascii="Times New Roman" w:hAnsi="Times New Roman"/>
          <w:color w:val="000000"/>
          <w:sz w:val="20"/>
        </w:rPr>
        <w:t>” means any product candidate researched, developed, tested, labeled, manufactured, stored, imported, exported, marketed or distributed by or on behalf of any VIE, and any derivative of such product candidate described in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8.4.        </w:t>
      </w:r>
      <w:r>
        <w:rPr>
          <w:rFonts w:ascii="Times New Roman" w:hAnsi="Times New Roman"/>
          <w:color w:val="000000"/>
          <w:sz w:val="20"/>
          <w:u w:val="single"/>
        </w:rPr>
        <w:t>Terms Defined Elsewhere</w:t>
      </w:r>
      <w:r>
        <w:rPr>
          <w:rFonts w:ascii="Times New Roman" w:hAnsi="Times New Roman"/>
          <w:color w:val="000000"/>
          <w:sz w:val="20"/>
        </w:rPr>
        <w:t>. For purposes of this Agreement each of the following terms (capitalized below) when used in this Agreement will have the meaning ascribed to such term in the Section set forth opposite such term:</w:t>
      </w:r>
    </w:p>
    <w:p>
      <w:pPr>
        <w:pStyle w:val="TextBody"/>
        <w:bidi w:val="0"/>
        <w:spacing w:before="0" w:after="0"/>
        <w:jc w:val="left"/>
        <w:rPr>
          <w:color w:val="000000"/>
        </w:rPr>
      </w:pPr>
      <w:r>
        <w:rPr>
          <w:color w:val="000000"/>
        </w:rPr>
        <w:t> </w:t>
      </w:r>
    </w:p>
    <w:tbl>
      <w:tblPr>
        <w:tblW w:w="4795" w:type="dxa"/>
        <w:jc w:val="left"/>
        <w:tblInd w:w="720" w:type="dxa"/>
        <w:tblLayout w:type="fixed"/>
        <w:tblCellMar>
          <w:top w:w="0" w:type="dxa"/>
          <w:left w:w="0" w:type="dxa"/>
          <w:bottom w:w="0" w:type="dxa"/>
          <w:right w:w="0" w:type="dxa"/>
        </w:tblCellMar>
      </w:tblPr>
      <w:tblGrid>
        <w:gridCol w:w="3335"/>
        <w:gridCol w:w="1460"/>
      </w:tblGrid>
      <w:tr>
        <w:trPr/>
        <w:tc>
          <w:tcPr>
            <w:tcW w:w="3335" w:type="dxa"/>
            <w:tcBorders/>
            <w:vAlign w:val="center"/>
          </w:tcPr>
          <w:p>
            <w:pPr>
              <w:pStyle w:val="TableContents"/>
              <w:bidi w:val="0"/>
              <w:spacing w:before="0" w:after="0"/>
              <w:jc w:val="left"/>
              <w:rPr/>
            </w:pPr>
            <w:r>
              <w:rPr/>
              <w:t>401(k) Plan</w:t>
            </w:r>
          </w:p>
        </w:tc>
        <w:tc>
          <w:tcPr>
            <w:tcW w:w="1460" w:type="dxa"/>
            <w:tcBorders/>
            <w:vAlign w:val="center"/>
          </w:tcPr>
          <w:p>
            <w:pPr>
              <w:pStyle w:val="TableContents"/>
              <w:bidi w:val="0"/>
              <w:spacing w:before="0" w:after="0"/>
              <w:jc w:val="right"/>
              <w:rPr/>
            </w:pPr>
            <w:r>
              <w:rPr/>
              <w:t>Section 5.5(c)</w:t>
            </w:r>
          </w:p>
        </w:tc>
      </w:tr>
      <w:tr>
        <w:trPr/>
        <w:tc>
          <w:tcPr>
            <w:tcW w:w="3335" w:type="dxa"/>
            <w:tcBorders/>
            <w:vAlign w:val="center"/>
          </w:tcPr>
          <w:p>
            <w:pPr>
              <w:pStyle w:val="TableContents"/>
              <w:bidi w:val="0"/>
              <w:spacing w:before="0" w:after="0"/>
              <w:jc w:val="left"/>
              <w:rPr/>
            </w:pPr>
            <w:r>
              <w:rPr/>
              <w:t>Affiliate Transaction</w:t>
            </w:r>
          </w:p>
        </w:tc>
        <w:tc>
          <w:tcPr>
            <w:tcW w:w="1460" w:type="dxa"/>
            <w:tcBorders/>
            <w:vAlign w:val="center"/>
          </w:tcPr>
          <w:p>
            <w:pPr>
              <w:pStyle w:val="TableContents"/>
              <w:bidi w:val="0"/>
              <w:spacing w:before="0" w:after="0"/>
              <w:jc w:val="right"/>
              <w:rPr/>
            </w:pPr>
            <w:r>
              <w:rPr/>
              <w:t>Section 3.24</w:t>
            </w:r>
          </w:p>
        </w:tc>
      </w:tr>
      <w:tr>
        <w:trPr/>
        <w:tc>
          <w:tcPr>
            <w:tcW w:w="3335" w:type="dxa"/>
            <w:tcBorders/>
            <w:vAlign w:val="center"/>
          </w:tcPr>
          <w:p>
            <w:pPr>
              <w:pStyle w:val="TableContents"/>
              <w:bidi w:val="0"/>
              <w:spacing w:before="0" w:after="0"/>
              <w:jc w:val="left"/>
              <w:rPr/>
            </w:pPr>
            <w:r>
              <w:rPr/>
              <w:t>Agreement</w:t>
            </w:r>
          </w:p>
        </w:tc>
        <w:tc>
          <w:tcPr>
            <w:tcW w:w="1460" w:type="dxa"/>
            <w:tcBorders/>
            <w:vAlign w:val="center"/>
          </w:tcPr>
          <w:p>
            <w:pPr>
              <w:pStyle w:val="TableContents"/>
              <w:bidi w:val="0"/>
              <w:spacing w:before="0" w:after="0"/>
              <w:jc w:val="right"/>
              <w:rPr/>
            </w:pPr>
            <w:r>
              <w:rPr/>
              <w:t>Preamble</w:t>
            </w:r>
          </w:p>
        </w:tc>
      </w:tr>
      <w:tr>
        <w:trPr/>
        <w:tc>
          <w:tcPr>
            <w:tcW w:w="3335" w:type="dxa"/>
            <w:tcBorders/>
            <w:vAlign w:val="center"/>
          </w:tcPr>
          <w:p>
            <w:pPr>
              <w:pStyle w:val="TableContents"/>
              <w:bidi w:val="0"/>
              <w:spacing w:before="0" w:after="0"/>
              <w:jc w:val="left"/>
              <w:rPr/>
            </w:pPr>
            <w:r>
              <w:rPr/>
              <w:t>Alternative Acquisition Agreement</w:t>
            </w:r>
          </w:p>
        </w:tc>
        <w:tc>
          <w:tcPr>
            <w:tcW w:w="1460" w:type="dxa"/>
            <w:tcBorders/>
            <w:vAlign w:val="center"/>
          </w:tcPr>
          <w:p>
            <w:pPr>
              <w:pStyle w:val="TableContents"/>
              <w:bidi w:val="0"/>
              <w:spacing w:before="0" w:after="0"/>
              <w:jc w:val="right"/>
              <w:rPr/>
            </w:pPr>
            <w:r>
              <w:rPr/>
              <w:t>Section 5.3(c)</w:t>
            </w:r>
          </w:p>
        </w:tc>
      </w:tr>
      <w:tr>
        <w:trPr/>
        <w:tc>
          <w:tcPr>
            <w:tcW w:w="3335" w:type="dxa"/>
            <w:tcBorders/>
            <w:vAlign w:val="center"/>
          </w:tcPr>
          <w:p>
            <w:pPr>
              <w:pStyle w:val="TableContents"/>
              <w:bidi w:val="0"/>
              <w:spacing w:before="0" w:after="0"/>
              <w:jc w:val="left"/>
              <w:rPr/>
            </w:pPr>
            <w:r>
              <w:rPr/>
              <w:t>Book-Entry Share</w:t>
            </w:r>
          </w:p>
        </w:tc>
        <w:tc>
          <w:tcPr>
            <w:tcW w:w="1460" w:type="dxa"/>
            <w:tcBorders/>
            <w:vAlign w:val="center"/>
          </w:tcPr>
          <w:p>
            <w:pPr>
              <w:pStyle w:val="TableContents"/>
              <w:bidi w:val="0"/>
              <w:spacing w:before="0" w:after="0"/>
              <w:jc w:val="right"/>
              <w:rPr/>
            </w:pPr>
            <w:r>
              <w:rPr/>
              <w:t>Section 2.5(b)</w:t>
            </w:r>
          </w:p>
        </w:tc>
      </w:tr>
      <w:tr>
        <w:trPr/>
        <w:tc>
          <w:tcPr>
            <w:tcW w:w="3335" w:type="dxa"/>
            <w:tcBorders/>
            <w:vAlign w:val="center"/>
          </w:tcPr>
          <w:p>
            <w:pPr>
              <w:pStyle w:val="TableContents"/>
              <w:bidi w:val="0"/>
              <w:spacing w:before="0" w:after="0"/>
              <w:jc w:val="left"/>
              <w:rPr/>
            </w:pPr>
            <w:r>
              <w:rPr/>
              <w:t>CARES Act</w:t>
            </w:r>
          </w:p>
        </w:tc>
        <w:tc>
          <w:tcPr>
            <w:tcW w:w="1460" w:type="dxa"/>
            <w:tcBorders/>
            <w:vAlign w:val="center"/>
          </w:tcPr>
          <w:p>
            <w:pPr>
              <w:pStyle w:val="TableContents"/>
              <w:bidi w:val="0"/>
              <w:spacing w:before="0" w:after="0"/>
              <w:jc w:val="right"/>
              <w:rPr/>
            </w:pPr>
            <w:r>
              <w:rPr/>
              <w:t>Section 3.11(c)</w:t>
            </w:r>
          </w:p>
        </w:tc>
      </w:tr>
      <w:tr>
        <w:trPr/>
        <w:tc>
          <w:tcPr>
            <w:tcW w:w="3335" w:type="dxa"/>
            <w:tcBorders/>
            <w:vAlign w:val="center"/>
          </w:tcPr>
          <w:p>
            <w:pPr>
              <w:pStyle w:val="TableContents"/>
              <w:bidi w:val="0"/>
              <w:spacing w:before="0" w:after="0"/>
              <w:jc w:val="left"/>
              <w:rPr/>
            </w:pPr>
            <w:r>
              <w:rPr/>
              <w:t>Certificate</w:t>
            </w:r>
          </w:p>
        </w:tc>
        <w:tc>
          <w:tcPr>
            <w:tcW w:w="1460" w:type="dxa"/>
            <w:tcBorders/>
            <w:vAlign w:val="center"/>
          </w:tcPr>
          <w:p>
            <w:pPr>
              <w:pStyle w:val="TableContents"/>
              <w:bidi w:val="0"/>
              <w:spacing w:before="0" w:after="0"/>
              <w:jc w:val="right"/>
              <w:rPr/>
            </w:pPr>
            <w:r>
              <w:rPr/>
              <w:t>Section 2.5(b)</w:t>
            </w:r>
          </w:p>
        </w:tc>
      </w:tr>
      <w:tr>
        <w:trPr/>
        <w:tc>
          <w:tcPr>
            <w:tcW w:w="3335" w:type="dxa"/>
            <w:tcBorders/>
            <w:vAlign w:val="center"/>
          </w:tcPr>
          <w:p>
            <w:pPr>
              <w:pStyle w:val="TableContents"/>
              <w:bidi w:val="0"/>
              <w:spacing w:before="0" w:after="0"/>
              <w:jc w:val="left"/>
              <w:rPr/>
            </w:pPr>
            <w:r>
              <w:rPr/>
              <w:t>Certificate of Merger</w:t>
            </w:r>
          </w:p>
        </w:tc>
        <w:tc>
          <w:tcPr>
            <w:tcW w:w="1460" w:type="dxa"/>
            <w:tcBorders/>
            <w:vAlign w:val="center"/>
          </w:tcPr>
          <w:p>
            <w:pPr>
              <w:pStyle w:val="TableContents"/>
              <w:bidi w:val="0"/>
              <w:spacing w:before="0" w:after="0"/>
              <w:jc w:val="right"/>
              <w:rPr/>
            </w:pPr>
            <w:r>
              <w:rPr/>
              <w:t>Section 1.2</w:t>
            </w:r>
          </w:p>
        </w:tc>
      </w:tr>
      <w:tr>
        <w:trPr/>
        <w:tc>
          <w:tcPr>
            <w:tcW w:w="3335" w:type="dxa"/>
            <w:tcBorders/>
            <w:vAlign w:val="center"/>
          </w:tcPr>
          <w:p>
            <w:pPr>
              <w:pStyle w:val="TableContents"/>
              <w:bidi w:val="0"/>
              <w:spacing w:before="0" w:after="0"/>
              <w:jc w:val="left"/>
              <w:rPr/>
            </w:pPr>
            <w:r>
              <w:rPr/>
              <w:t>Closing</w:t>
            </w:r>
          </w:p>
        </w:tc>
        <w:tc>
          <w:tcPr>
            <w:tcW w:w="1460" w:type="dxa"/>
            <w:tcBorders/>
            <w:vAlign w:val="center"/>
          </w:tcPr>
          <w:p>
            <w:pPr>
              <w:pStyle w:val="TableContents"/>
              <w:bidi w:val="0"/>
              <w:spacing w:before="0" w:after="0"/>
              <w:jc w:val="right"/>
              <w:rPr/>
            </w:pPr>
            <w:r>
              <w:rPr/>
              <w:t>Section 1.2</w:t>
            </w:r>
          </w:p>
        </w:tc>
      </w:tr>
    </w:tbl>
    <w:p>
      <w:pPr>
        <w:pStyle w:val="TextBody"/>
        <w:bidi w:val="0"/>
        <w:spacing w:before="0" w:after="0"/>
        <w:ind w:left="72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200" w:after="200"/>
        <w:jc w:val="left"/>
        <w:rPr/>
      </w:pPr>
      <w:r>
        <w:rPr/>
      </w:r>
    </w:p>
    <w:tbl>
      <w:tblPr>
        <w:tblW w:w="5740" w:type="dxa"/>
        <w:jc w:val="left"/>
        <w:tblInd w:w="720" w:type="dxa"/>
        <w:tblLayout w:type="fixed"/>
        <w:tblCellMar>
          <w:top w:w="0" w:type="dxa"/>
          <w:left w:w="0" w:type="dxa"/>
          <w:bottom w:w="0" w:type="dxa"/>
          <w:right w:w="0" w:type="dxa"/>
        </w:tblCellMar>
      </w:tblPr>
      <w:tblGrid>
        <w:gridCol w:w="3995"/>
        <w:gridCol w:w="1745"/>
      </w:tblGrid>
      <w:tr>
        <w:trPr/>
        <w:tc>
          <w:tcPr>
            <w:tcW w:w="3995" w:type="dxa"/>
            <w:tcBorders/>
            <w:vAlign w:val="center"/>
          </w:tcPr>
          <w:p>
            <w:pPr>
              <w:pStyle w:val="TableContents"/>
              <w:bidi w:val="0"/>
              <w:spacing w:before="0" w:after="0"/>
              <w:jc w:val="left"/>
              <w:rPr/>
            </w:pPr>
            <w:r>
              <w:rPr/>
              <w:t>Closing Amount</w:t>
            </w:r>
          </w:p>
        </w:tc>
        <w:tc>
          <w:tcPr>
            <w:tcW w:w="1745" w:type="dxa"/>
            <w:tcBorders/>
            <w:vAlign w:val="center"/>
          </w:tcPr>
          <w:p>
            <w:pPr>
              <w:pStyle w:val="TableContents"/>
              <w:bidi w:val="0"/>
              <w:spacing w:before="0" w:after="0"/>
              <w:jc w:val="right"/>
              <w:rPr/>
            </w:pPr>
            <w:r>
              <w:rPr/>
              <w:t>Section 2.1(a)</w:t>
            </w:r>
          </w:p>
        </w:tc>
      </w:tr>
      <w:tr>
        <w:trPr/>
        <w:tc>
          <w:tcPr>
            <w:tcW w:w="3995" w:type="dxa"/>
            <w:tcBorders/>
            <w:vAlign w:val="center"/>
          </w:tcPr>
          <w:p>
            <w:pPr>
              <w:pStyle w:val="TableContents"/>
              <w:bidi w:val="0"/>
              <w:spacing w:before="0" w:after="0"/>
              <w:jc w:val="left"/>
              <w:rPr/>
            </w:pPr>
            <w:r>
              <w:rPr/>
              <w:t>Closing Date</w:t>
            </w:r>
          </w:p>
        </w:tc>
        <w:tc>
          <w:tcPr>
            <w:tcW w:w="1745" w:type="dxa"/>
            <w:tcBorders/>
            <w:vAlign w:val="center"/>
          </w:tcPr>
          <w:p>
            <w:pPr>
              <w:pStyle w:val="TableContents"/>
              <w:bidi w:val="0"/>
              <w:spacing w:before="0" w:after="0"/>
              <w:jc w:val="right"/>
              <w:rPr/>
            </w:pPr>
            <w:r>
              <w:rPr/>
              <w:t>Section 1.2</w:t>
            </w:r>
          </w:p>
        </w:tc>
      </w:tr>
      <w:tr>
        <w:trPr/>
        <w:tc>
          <w:tcPr>
            <w:tcW w:w="3995" w:type="dxa"/>
            <w:tcBorders/>
            <w:vAlign w:val="center"/>
          </w:tcPr>
          <w:p>
            <w:pPr>
              <w:pStyle w:val="TableContents"/>
              <w:bidi w:val="0"/>
              <w:spacing w:before="0" w:after="0"/>
              <w:jc w:val="left"/>
              <w:rPr/>
            </w:pPr>
            <w:r>
              <w:rPr/>
              <w:t>Code</w:t>
            </w:r>
          </w:p>
        </w:tc>
        <w:tc>
          <w:tcPr>
            <w:tcW w:w="1745" w:type="dxa"/>
            <w:tcBorders/>
            <w:vAlign w:val="center"/>
          </w:tcPr>
          <w:p>
            <w:pPr>
              <w:pStyle w:val="TableContents"/>
              <w:bidi w:val="0"/>
              <w:spacing w:before="0" w:after="0"/>
              <w:jc w:val="right"/>
              <w:rPr/>
            </w:pPr>
            <w:r>
              <w:rPr/>
              <w:t>Section 2.7</w:t>
            </w:r>
          </w:p>
        </w:tc>
      </w:tr>
      <w:tr>
        <w:trPr/>
        <w:tc>
          <w:tcPr>
            <w:tcW w:w="3995" w:type="dxa"/>
            <w:tcBorders/>
            <w:vAlign w:val="center"/>
          </w:tcPr>
          <w:p>
            <w:pPr>
              <w:pStyle w:val="TableContents"/>
              <w:bidi w:val="0"/>
              <w:spacing w:before="0" w:after="0"/>
              <w:jc w:val="left"/>
              <w:rPr/>
            </w:pPr>
            <w:r>
              <w:rPr/>
              <w:t>Company</w:t>
            </w:r>
          </w:p>
        </w:tc>
        <w:tc>
          <w:tcPr>
            <w:tcW w:w="1745" w:type="dxa"/>
            <w:tcBorders/>
            <w:vAlign w:val="center"/>
          </w:tcPr>
          <w:p>
            <w:pPr>
              <w:pStyle w:val="TableContents"/>
              <w:bidi w:val="0"/>
              <w:spacing w:before="0" w:after="0"/>
              <w:jc w:val="right"/>
              <w:rPr/>
            </w:pPr>
            <w:r>
              <w:rPr/>
              <w:t>Preamble</w:t>
            </w:r>
          </w:p>
        </w:tc>
      </w:tr>
      <w:tr>
        <w:trPr/>
        <w:tc>
          <w:tcPr>
            <w:tcW w:w="3995" w:type="dxa"/>
            <w:tcBorders/>
            <w:vAlign w:val="center"/>
          </w:tcPr>
          <w:p>
            <w:pPr>
              <w:pStyle w:val="TableContents"/>
              <w:bidi w:val="0"/>
              <w:spacing w:before="0" w:after="0"/>
              <w:jc w:val="left"/>
              <w:rPr/>
            </w:pPr>
            <w:r>
              <w:rPr/>
              <w:t>Company Board</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Company Board Recommendation</w:t>
            </w:r>
          </w:p>
        </w:tc>
        <w:tc>
          <w:tcPr>
            <w:tcW w:w="1745" w:type="dxa"/>
            <w:tcBorders/>
            <w:vAlign w:val="center"/>
          </w:tcPr>
          <w:p>
            <w:pPr>
              <w:pStyle w:val="TableContents"/>
              <w:bidi w:val="0"/>
              <w:spacing w:before="0" w:after="0"/>
              <w:jc w:val="right"/>
              <w:rPr/>
            </w:pPr>
            <w:r>
              <w:rPr/>
              <w:t>Section 3.2</w:t>
            </w:r>
          </w:p>
        </w:tc>
      </w:tr>
      <w:tr>
        <w:trPr/>
        <w:tc>
          <w:tcPr>
            <w:tcW w:w="3995" w:type="dxa"/>
            <w:tcBorders/>
            <w:vAlign w:val="center"/>
          </w:tcPr>
          <w:p>
            <w:pPr>
              <w:pStyle w:val="TableContents"/>
              <w:bidi w:val="0"/>
              <w:spacing w:before="0" w:after="0"/>
              <w:jc w:val="left"/>
              <w:rPr/>
            </w:pPr>
            <w:r>
              <w:rPr/>
              <w:t>Company Cash-Out Stock Option</w:t>
            </w:r>
          </w:p>
        </w:tc>
        <w:tc>
          <w:tcPr>
            <w:tcW w:w="1745" w:type="dxa"/>
            <w:tcBorders/>
            <w:vAlign w:val="center"/>
          </w:tcPr>
          <w:p>
            <w:pPr>
              <w:pStyle w:val="TableContents"/>
              <w:bidi w:val="0"/>
              <w:spacing w:before="0" w:after="0"/>
              <w:jc w:val="right"/>
              <w:rPr/>
            </w:pPr>
            <w:r>
              <w:rPr/>
              <w:t>Section 2.2(a)(i)</w:t>
            </w:r>
          </w:p>
        </w:tc>
      </w:tr>
      <w:tr>
        <w:trPr/>
        <w:tc>
          <w:tcPr>
            <w:tcW w:w="3995" w:type="dxa"/>
            <w:tcBorders/>
            <w:vAlign w:val="center"/>
          </w:tcPr>
          <w:p>
            <w:pPr>
              <w:pStyle w:val="TableContents"/>
              <w:bidi w:val="0"/>
              <w:spacing w:before="0" w:after="0"/>
              <w:jc w:val="left"/>
              <w:rPr/>
            </w:pPr>
            <w:r>
              <w:rPr/>
              <w:t>Company Common Stock</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Company Disclosure Letter</w:t>
            </w:r>
          </w:p>
        </w:tc>
        <w:tc>
          <w:tcPr>
            <w:tcW w:w="1745" w:type="dxa"/>
            <w:tcBorders/>
            <w:vAlign w:val="center"/>
          </w:tcPr>
          <w:p>
            <w:pPr>
              <w:pStyle w:val="TableContents"/>
              <w:bidi w:val="0"/>
              <w:spacing w:before="0" w:after="0"/>
              <w:jc w:val="right"/>
              <w:rPr/>
            </w:pPr>
            <w:r>
              <w:rPr/>
              <w:t>Article III</w:t>
            </w:r>
          </w:p>
        </w:tc>
      </w:tr>
      <w:tr>
        <w:trPr/>
        <w:tc>
          <w:tcPr>
            <w:tcW w:w="3995" w:type="dxa"/>
            <w:tcBorders/>
            <w:vAlign w:val="center"/>
          </w:tcPr>
          <w:p>
            <w:pPr>
              <w:pStyle w:val="TableContents"/>
              <w:bidi w:val="0"/>
              <w:spacing w:before="0" w:after="0"/>
              <w:jc w:val="left"/>
              <w:rPr/>
            </w:pPr>
            <w:r>
              <w:rPr/>
              <w:t>Company Material Contract</w:t>
            </w:r>
          </w:p>
        </w:tc>
        <w:tc>
          <w:tcPr>
            <w:tcW w:w="1745" w:type="dxa"/>
            <w:tcBorders/>
            <w:vAlign w:val="center"/>
          </w:tcPr>
          <w:p>
            <w:pPr>
              <w:pStyle w:val="TableContents"/>
              <w:bidi w:val="0"/>
              <w:spacing w:before="0" w:after="0"/>
              <w:jc w:val="right"/>
              <w:rPr/>
            </w:pPr>
            <w:r>
              <w:rPr/>
              <w:t>Section 3.12(a)</w:t>
            </w:r>
          </w:p>
        </w:tc>
      </w:tr>
      <w:tr>
        <w:trPr/>
        <w:tc>
          <w:tcPr>
            <w:tcW w:w="3995" w:type="dxa"/>
            <w:tcBorders/>
            <w:vAlign w:val="center"/>
          </w:tcPr>
          <w:p>
            <w:pPr>
              <w:pStyle w:val="TableContents"/>
              <w:bidi w:val="0"/>
              <w:spacing w:before="0" w:after="0"/>
              <w:jc w:val="left"/>
              <w:rPr/>
            </w:pPr>
            <w:r>
              <w:rPr/>
              <w:t>Company Organizational Documents</w:t>
            </w:r>
          </w:p>
        </w:tc>
        <w:tc>
          <w:tcPr>
            <w:tcW w:w="1745" w:type="dxa"/>
            <w:tcBorders/>
            <w:vAlign w:val="center"/>
          </w:tcPr>
          <w:p>
            <w:pPr>
              <w:pStyle w:val="TableContents"/>
              <w:bidi w:val="0"/>
              <w:spacing w:before="0" w:after="0"/>
              <w:jc w:val="right"/>
              <w:rPr/>
            </w:pPr>
            <w:r>
              <w:rPr/>
              <w:t>Section 3.1(c)</w:t>
            </w:r>
          </w:p>
        </w:tc>
      </w:tr>
      <w:tr>
        <w:trPr/>
        <w:tc>
          <w:tcPr>
            <w:tcW w:w="3995" w:type="dxa"/>
            <w:tcBorders/>
            <w:vAlign w:val="center"/>
          </w:tcPr>
          <w:p>
            <w:pPr>
              <w:pStyle w:val="TableContents"/>
              <w:bidi w:val="0"/>
              <w:spacing w:before="0" w:after="0"/>
              <w:jc w:val="left"/>
              <w:rPr/>
            </w:pPr>
            <w:r>
              <w:rPr/>
              <w:t>Company Real Property Leases</w:t>
            </w:r>
          </w:p>
        </w:tc>
        <w:tc>
          <w:tcPr>
            <w:tcW w:w="1745" w:type="dxa"/>
            <w:tcBorders/>
            <w:vAlign w:val="center"/>
          </w:tcPr>
          <w:p>
            <w:pPr>
              <w:pStyle w:val="TableContents"/>
              <w:bidi w:val="0"/>
              <w:spacing w:before="0" w:after="0"/>
              <w:jc w:val="right"/>
              <w:rPr/>
            </w:pPr>
            <w:r>
              <w:rPr/>
              <w:t>Section 3.10(b)</w:t>
            </w:r>
          </w:p>
        </w:tc>
      </w:tr>
      <w:tr>
        <w:trPr/>
        <w:tc>
          <w:tcPr>
            <w:tcW w:w="3995" w:type="dxa"/>
            <w:tcBorders/>
            <w:vAlign w:val="center"/>
          </w:tcPr>
          <w:p>
            <w:pPr>
              <w:pStyle w:val="TableContents"/>
              <w:bidi w:val="0"/>
              <w:spacing w:before="0" w:after="0"/>
              <w:jc w:val="left"/>
              <w:rPr/>
            </w:pPr>
            <w:r>
              <w:rPr/>
              <w:t>Company Registered Intellectual Property</w:t>
            </w:r>
          </w:p>
        </w:tc>
        <w:tc>
          <w:tcPr>
            <w:tcW w:w="1745" w:type="dxa"/>
            <w:tcBorders/>
            <w:vAlign w:val="center"/>
          </w:tcPr>
          <w:p>
            <w:pPr>
              <w:pStyle w:val="TableContents"/>
              <w:bidi w:val="0"/>
              <w:spacing w:before="0" w:after="0"/>
              <w:jc w:val="right"/>
              <w:rPr/>
            </w:pPr>
            <w:r>
              <w:rPr/>
              <w:t>Section 3.13(a)</w:t>
            </w:r>
          </w:p>
        </w:tc>
      </w:tr>
      <w:tr>
        <w:trPr/>
        <w:tc>
          <w:tcPr>
            <w:tcW w:w="3995" w:type="dxa"/>
            <w:tcBorders/>
            <w:vAlign w:val="center"/>
          </w:tcPr>
          <w:p>
            <w:pPr>
              <w:pStyle w:val="TableContents"/>
              <w:bidi w:val="0"/>
              <w:spacing w:before="0" w:after="0"/>
              <w:jc w:val="left"/>
              <w:rPr/>
            </w:pPr>
            <w:r>
              <w:rPr/>
              <w:t>Company SEC Documents</w:t>
            </w:r>
          </w:p>
        </w:tc>
        <w:tc>
          <w:tcPr>
            <w:tcW w:w="1745" w:type="dxa"/>
            <w:tcBorders/>
            <w:vAlign w:val="center"/>
          </w:tcPr>
          <w:p>
            <w:pPr>
              <w:pStyle w:val="TableContents"/>
              <w:bidi w:val="0"/>
              <w:spacing w:before="0" w:after="0"/>
              <w:jc w:val="right"/>
              <w:rPr/>
            </w:pPr>
            <w:r>
              <w:rPr/>
              <w:t>Section 3.6(a)</w:t>
            </w:r>
          </w:p>
        </w:tc>
      </w:tr>
      <w:tr>
        <w:trPr/>
        <w:tc>
          <w:tcPr>
            <w:tcW w:w="3995" w:type="dxa"/>
            <w:tcBorders/>
            <w:vAlign w:val="center"/>
          </w:tcPr>
          <w:p>
            <w:pPr>
              <w:pStyle w:val="TableContents"/>
              <w:bidi w:val="0"/>
              <w:spacing w:before="0" w:after="0"/>
              <w:jc w:val="left"/>
              <w:rPr/>
            </w:pPr>
            <w:r>
              <w:rPr/>
              <w:t>Company Securities</w:t>
            </w:r>
          </w:p>
        </w:tc>
        <w:tc>
          <w:tcPr>
            <w:tcW w:w="1745" w:type="dxa"/>
            <w:tcBorders/>
            <w:vAlign w:val="center"/>
          </w:tcPr>
          <w:p>
            <w:pPr>
              <w:pStyle w:val="TableContents"/>
              <w:bidi w:val="0"/>
              <w:spacing w:before="0" w:after="0"/>
              <w:jc w:val="right"/>
              <w:rPr/>
            </w:pPr>
            <w:r>
              <w:rPr/>
              <w:t>Section 3.3(f)</w:t>
            </w:r>
          </w:p>
        </w:tc>
      </w:tr>
      <w:tr>
        <w:trPr/>
        <w:tc>
          <w:tcPr>
            <w:tcW w:w="3995" w:type="dxa"/>
            <w:tcBorders/>
            <w:vAlign w:val="center"/>
          </w:tcPr>
          <w:p>
            <w:pPr>
              <w:pStyle w:val="TableContents"/>
              <w:bidi w:val="0"/>
              <w:spacing w:before="0" w:after="0"/>
              <w:jc w:val="left"/>
              <w:rPr/>
            </w:pPr>
            <w:r>
              <w:rPr/>
              <w:t>Company Systems</w:t>
            </w:r>
          </w:p>
        </w:tc>
        <w:tc>
          <w:tcPr>
            <w:tcW w:w="1745" w:type="dxa"/>
            <w:tcBorders/>
            <w:vAlign w:val="center"/>
          </w:tcPr>
          <w:p>
            <w:pPr>
              <w:pStyle w:val="TableContents"/>
              <w:bidi w:val="0"/>
              <w:spacing w:before="0" w:after="0"/>
              <w:jc w:val="right"/>
              <w:rPr/>
            </w:pPr>
            <w:r>
              <w:rPr/>
              <w:t>Section 3.13(k)</w:t>
            </w:r>
          </w:p>
        </w:tc>
      </w:tr>
      <w:tr>
        <w:trPr/>
        <w:tc>
          <w:tcPr>
            <w:tcW w:w="3995" w:type="dxa"/>
            <w:tcBorders/>
            <w:vAlign w:val="center"/>
          </w:tcPr>
          <w:p>
            <w:pPr>
              <w:pStyle w:val="TableContents"/>
              <w:bidi w:val="0"/>
              <w:spacing w:before="0" w:after="0"/>
              <w:jc w:val="left"/>
              <w:rPr/>
            </w:pPr>
            <w:r>
              <w:rPr/>
              <w:t>Compensation Action</w:t>
            </w:r>
          </w:p>
        </w:tc>
        <w:tc>
          <w:tcPr>
            <w:tcW w:w="1745" w:type="dxa"/>
            <w:tcBorders/>
            <w:vAlign w:val="center"/>
          </w:tcPr>
          <w:p>
            <w:pPr>
              <w:pStyle w:val="TableContents"/>
              <w:bidi w:val="0"/>
              <w:spacing w:before="0" w:after="0"/>
              <w:jc w:val="right"/>
              <w:rPr/>
            </w:pPr>
            <w:r>
              <w:rPr/>
              <w:t>Section 5.9</w:t>
            </w:r>
          </w:p>
        </w:tc>
      </w:tr>
      <w:tr>
        <w:trPr/>
        <w:tc>
          <w:tcPr>
            <w:tcW w:w="3995" w:type="dxa"/>
            <w:tcBorders/>
            <w:vAlign w:val="center"/>
          </w:tcPr>
          <w:p>
            <w:pPr>
              <w:pStyle w:val="TableContents"/>
              <w:bidi w:val="0"/>
              <w:spacing w:before="0" w:after="0"/>
              <w:jc w:val="left"/>
              <w:rPr/>
            </w:pPr>
            <w:r>
              <w:rPr/>
              <w:t>Current Employees</w:t>
            </w:r>
          </w:p>
        </w:tc>
        <w:tc>
          <w:tcPr>
            <w:tcW w:w="1745" w:type="dxa"/>
            <w:tcBorders/>
            <w:vAlign w:val="center"/>
          </w:tcPr>
          <w:p>
            <w:pPr>
              <w:pStyle w:val="TableContents"/>
              <w:bidi w:val="0"/>
              <w:spacing w:before="0" w:after="0"/>
              <w:jc w:val="right"/>
              <w:rPr/>
            </w:pPr>
            <w:r>
              <w:rPr/>
              <w:t>Section 5.5(a)</w:t>
            </w:r>
          </w:p>
        </w:tc>
      </w:tr>
      <w:tr>
        <w:trPr/>
        <w:tc>
          <w:tcPr>
            <w:tcW w:w="3995" w:type="dxa"/>
            <w:tcBorders/>
            <w:vAlign w:val="center"/>
          </w:tcPr>
          <w:p>
            <w:pPr>
              <w:pStyle w:val="TableContents"/>
              <w:bidi w:val="0"/>
              <w:spacing w:before="0" w:after="0"/>
              <w:jc w:val="left"/>
              <w:rPr/>
            </w:pPr>
            <w:r>
              <w:rPr/>
              <w:t>CVR Agreement</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CVRs</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DGCL</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Dissenting Shares</w:t>
            </w:r>
          </w:p>
        </w:tc>
        <w:tc>
          <w:tcPr>
            <w:tcW w:w="1745" w:type="dxa"/>
            <w:tcBorders/>
            <w:vAlign w:val="center"/>
          </w:tcPr>
          <w:p>
            <w:pPr>
              <w:pStyle w:val="TableContents"/>
              <w:bidi w:val="0"/>
              <w:spacing w:before="0" w:after="0"/>
              <w:jc w:val="right"/>
              <w:rPr/>
            </w:pPr>
            <w:r>
              <w:rPr/>
              <w:t>Section 2.4(a)</w:t>
            </w:r>
          </w:p>
        </w:tc>
      </w:tr>
      <w:tr>
        <w:trPr/>
        <w:tc>
          <w:tcPr>
            <w:tcW w:w="3995" w:type="dxa"/>
            <w:tcBorders/>
            <w:vAlign w:val="center"/>
          </w:tcPr>
          <w:p>
            <w:pPr>
              <w:pStyle w:val="TableContents"/>
              <w:bidi w:val="0"/>
              <w:spacing w:before="0" w:after="0"/>
              <w:jc w:val="left"/>
              <w:rPr/>
            </w:pPr>
            <w:r>
              <w:rPr/>
              <w:t>Effective Time</w:t>
            </w:r>
          </w:p>
        </w:tc>
        <w:tc>
          <w:tcPr>
            <w:tcW w:w="1745" w:type="dxa"/>
            <w:tcBorders/>
            <w:vAlign w:val="center"/>
          </w:tcPr>
          <w:p>
            <w:pPr>
              <w:pStyle w:val="TableContents"/>
              <w:bidi w:val="0"/>
              <w:spacing w:before="0" w:after="0"/>
              <w:jc w:val="right"/>
              <w:rPr/>
            </w:pPr>
            <w:r>
              <w:rPr/>
              <w:t>Section 1.2</w:t>
            </w:r>
          </w:p>
        </w:tc>
      </w:tr>
      <w:tr>
        <w:trPr/>
        <w:tc>
          <w:tcPr>
            <w:tcW w:w="3995" w:type="dxa"/>
            <w:tcBorders/>
            <w:vAlign w:val="center"/>
          </w:tcPr>
          <w:p>
            <w:pPr>
              <w:pStyle w:val="TableContents"/>
              <w:bidi w:val="0"/>
              <w:spacing w:before="0" w:after="0"/>
              <w:jc w:val="left"/>
              <w:rPr/>
            </w:pPr>
            <w:r>
              <w:rPr/>
              <w:t>Equity Award</w:t>
            </w:r>
          </w:p>
        </w:tc>
        <w:tc>
          <w:tcPr>
            <w:tcW w:w="1745" w:type="dxa"/>
            <w:tcBorders/>
            <w:vAlign w:val="center"/>
          </w:tcPr>
          <w:p>
            <w:pPr>
              <w:pStyle w:val="TableContents"/>
              <w:bidi w:val="0"/>
              <w:spacing w:before="0" w:after="0"/>
              <w:jc w:val="right"/>
              <w:rPr/>
            </w:pPr>
            <w:r>
              <w:rPr/>
              <w:t>Section 4.3(b)</w:t>
            </w:r>
          </w:p>
        </w:tc>
      </w:tr>
      <w:tr>
        <w:trPr/>
        <w:tc>
          <w:tcPr>
            <w:tcW w:w="3995" w:type="dxa"/>
            <w:tcBorders/>
            <w:vAlign w:val="center"/>
          </w:tcPr>
          <w:p>
            <w:pPr>
              <w:pStyle w:val="TableContents"/>
              <w:bidi w:val="0"/>
              <w:spacing w:before="0" w:after="0"/>
              <w:jc w:val="left"/>
              <w:rPr/>
            </w:pPr>
            <w:r>
              <w:rPr/>
              <w:t>ERISA</w:t>
            </w:r>
          </w:p>
        </w:tc>
        <w:tc>
          <w:tcPr>
            <w:tcW w:w="1745" w:type="dxa"/>
            <w:tcBorders/>
            <w:vAlign w:val="center"/>
          </w:tcPr>
          <w:p>
            <w:pPr>
              <w:pStyle w:val="TableContents"/>
              <w:bidi w:val="0"/>
              <w:spacing w:before="0" w:after="0"/>
              <w:jc w:val="right"/>
              <w:rPr/>
            </w:pPr>
            <w:r>
              <w:rPr/>
              <w:t>Section 3.16(d)</w:t>
            </w:r>
          </w:p>
        </w:tc>
      </w:tr>
      <w:tr>
        <w:trPr/>
        <w:tc>
          <w:tcPr>
            <w:tcW w:w="3995" w:type="dxa"/>
            <w:tcBorders/>
            <w:vAlign w:val="center"/>
          </w:tcPr>
          <w:p>
            <w:pPr>
              <w:pStyle w:val="TableContents"/>
              <w:bidi w:val="0"/>
              <w:spacing w:before="0" w:after="0"/>
              <w:jc w:val="left"/>
              <w:rPr/>
            </w:pPr>
            <w:r>
              <w:rPr/>
              <w:t>Exchange Act</w:t>
            </w:r>
          </w:p>
        </w:tc>
        <w:tc>
          <w:tcPr>
            <w:tcW w:w="1745" w:type="dxa"/>
            <w:tcBorders/>
            <w:vAlign w:val="center"/>
          </w:tcPr>
          <w:p>
            <w:pPr>
              <w:pStyle w:val="TableContents"/>
              <w:bidi w:val="0"/>
              <w:spacing w:before="0" w:after="0"/>
              <w:jc w:val="right"/>
              <w:rPr/>
            </w:pPr>
            <w:r>
              <w:rPr/>
              <w:t>Section 2.5(d)</w:t>
            </w:r>
          </w:p>
        </w:tc>
      </w:tr>
      <w:tr>
        <w:trPr/>
        <w:tc>
          <w:tcPr>
            <w:tcW w:w="3995" w:type="dxa"/>
            <w:tcBorders/>
            <w:vAlign w:val="center"/>
          </w:tcPr>
          <w:p>
            <w:pPr>
              <w:pStyle w:val="TableContents"/>
              <w:bidi w:val="0"/>
              <w:spacing w:before="0" w:after="0"/>
              <w:jc w:val="left"/>
              <w:rPr/>
            </w:pPr>
            <w:r>
              <w:rPr/>
              <w:t>Excluded Benefits</w:t>
            </w:r>
          </w:p>
        </w:tc>
        <w:tc>
          <w:tcPr>
            <w:tcW w:w="1745" w:type="dxa"/>
            <w:tcBorders/>
            <w:vAlign w:val="center"/>
          </w:tcPr>
          <w:p>
            <w:pPr>
              <w:pStyle w:val="TableContents"/>
              <w:bidi w:val="0"/>
              <w:spacing w:before="0" w:after="0"/>
              <w:jc w:val="right"/>
              <w:rPr/>
            </w:pPr>
            <w:r>
              <w:rPr/>
              <w:t>Section 5.5(a)</w:t>
            </w:r>
          </w:p>
        </w:tc>
      </w:tr>
      <w:tr>
        <w:trPr/>
        <w:tc>
          <w:tcPr>
            <w:tcW w:w="3995" w:type="dxa"/>
            <w:tcBorders/>
            <w:vAlign w:val="center"/>
          </w:tcPr>
          <w:p>
            <w:pPr>
              <w:pStyle w:val="TableContents"/>
              <w:bidi w:val="0"/>
              <w:spacing w:before="0" w:after="0"/>
              <w:jc w:val="left"/>
              <w:rPr/>
            </w:pPr>
            <w:r>
              <w:rPr/>
              <w:t>FCPA</w:t>
            </w:r>
          </w:p>
        </w:tc>
        <w:tc>
          <w:tcPr>
            <w:tcW w:w="1745" w:type="dxa"/>
            <w:tcBorders/>
            <w:vAlign w:val="center"/>
          </w:tcPr>
          <w:p>
            <w:pPr>
              <w:pStyle w:val="TableContents"/>
              <w:bidi w:val="0"/>
              <w:spacing w:before="0" w:after="0"/>
              <w:jc w:val="right"/>
              <w:rPr/>
            </w:pPr>
            <w:r>
              <w:rPr/>
              <w:t>Section 3.19(n)</w:t>
            </w:r>
          </w:p>
        </w:tc>
      </w:tr>
      <w:tr>
        <w:trPr/>
        <w:tc>
          <w:tcPr>
            <w:tcW w:w="3995" w:type="dxa"/>
            <w:tcBorders/>
            <w:vAlign w:val="center"/>
          </w:tcPr>
          <w:p>
            <w:pPr>
              <w:pStyle w:val="TableContents"/>
              <w:bidi w:val="0"/>
              <w:spacing w:before="0" w:after="0"/>
              <w:jc w:val="left"/>
              <w:rPr/>
            </w:pPr>
            <w:r>
              <w:rPr/>
              <w:t>FDA</w:t>
            </w:r>
          </w:p>
        </w:tc>
        <w:tc>
          <w:tcPr>
            <w:tcW w:w="1745" w:type="dxa"/>
            <w:tcBorders/>
            <w:vAlign w:val="center"/>
          </w:tcPr>
          <w:p>
            <w:pPr>
              <w:pStyle w:val="TableContents"/>
              <w:bidi w:val="0"/>
              <w:spacing w:before="0" w:after="0"/>
              <w:jc w:val="right"/>
              <w:rPr/>
            </w:pPr>
            <w:r>
              <w:rPr/>
              <w:t>Section 3.19(a)</w:t>
            </w:r>
          </w:p>
        </w:tc>
      </w:tr>
      <w:tr>
        <w:trPr/>
        <w:tc>
          <w:tcPr>
            <w:tcW w:w="3995" w:type="dxa"/>
            <w:tcBorders/>
            <w:vAlign w:val="center"/>
          </w:tcPr>
          <w:p>
            <w:pPr>
              <w:pStyle w:val="TableContents"/>
              <w:bidi w:val="0"/>
              <w:spacing w:before="0" w:after="0"/>
              <w:jc w:val="left"/>
              <w:rPr/>
            </w:pPr>
            <w:r>
              <w:rPr/>
              <w:t>FDCA</w:t>
            </w:r>
          </w:p>
        </w:tc>
        <w:tc>
          <w:tcPr>
            <w:tcW w:w="1745" w:type="dxa"/>
            <w:tcBorders/>
            <w:vAlign w:val="center"/>
          </w:tcPr>
          <w:p>
            <w:pPr>
              <w:pStyle w:val="TableContents"/>
              <w:bidi w:val="0"/>
              <w:spacing w:before="0" w:after="0"/>
              <w:jc w:val="right"/>
              <w:rPr/>
            </w:pPr>
            <w:r>
              <w:rPr/>
              <w:t>Section 3.19(a)</w:t>
            </w:r>
          </w:p>
        </w:tc>
      </w:tr>
      <w:tr>
        <w:trPr/>
        <w:tc>
          <w:tcPr>
            <w:tcW w:w="3995" w:type="dxa"/>
            <w:tcBorders/>
            <w:vAlign w:val="center"/>
          </w:tcPr>
          <w:p>
            <w:pPr>
              <w:pStyle w:val="TableContents"/>
              <w:bidi w:val="0"/>
              <w:spacing w:before="0" w:after="0"/>
              <w:jc w:val="left"/>
              <w:rPr/>
            </w:pPr>
            <w:r>
              <w:rPr/>
              <w:t>Healthcare Correspondence</w:t>
            </w:r>
          </w:p>
        </w:tc>
        <w:tc>
          <w:tcPr>
            <w:tcW w:w="1745" w:type="dxa"/>
            <w:tcBorders/>
            <w:vAlign w:val="center"/>
          </w:tcPr>
          <w:p>
            <w:pPr>
              <w:pStyle w:val="TableContents"/>
              <w:bidi w:val="0"/>
              <w:spacing w:before="0" w:after="0"/>
              <w:jc w:val="right"/>
              <w:rPr/>
            </w:pPr>
            <w:r>
              <w:rPr/>
              <w:t>Section 3.19(f)</w:t>
            </w:r>
          </w:p>
        </w:tc>
      </w:tr>
      <w:tr>
        <w:trPr/>
        <w:tc>
          <w:tcPr>
            <w:tcW w:w="3995" w:type="dxa"/>
            <w:tcBorders/>
            <w:vAlign w:val="center"/>
          </w:tcPr>
          <w:p>
            <w:pPr>
              <w:pStyle w:val="TableContents"/>
              <w:bidi w:val="0"/>
              <w:spacing w:before="0" w:after="0"/>
              <w:jc w:val="left"/>
              <w:rPr/>
            </w:pPr>
            <w:r>
              <w:rPr/>
              <w:t>HSOP Partner</w:t>
            </w:r>
          </w:p>
        </w:tc>
        <w:tc>
          <w:tcPr>
            <w:tcW w:w="1745" w:type="dxa"/>
            <w:tcBorders/>
            <w:vAlign w:val="center"/>
          </w:tcPr>
          <w:p>
            <w:pPr>
              <w:pStyle w:val="TableContents"/>
              <w:bidi w:val="0"/>
              <w:spacing w:before="0" w:after="0"/>
              <w:jc w:val="right"/>
              <w:rPr/>
            </w:pPr>
            <w:r>
              <w:rPr/>
              <w:t>Section 5.16(c)</w:t>
            </w:r>
          </w:p>
        </w:tc>
      </w:tr>
      <w:tr>
        <w:trPr/>
        <w:tc>
          <w:tcPr>
            <w:tcW w:w="3995" w:type="dxa"/>
            <w:tcBorders/>
            <w:vAlign w:val="center"/>
          </w:tcPr>
          <w:p>
            <w:pPr>
              <w:pStyle w:val="TableContents"/>
              <w:bidi w:val="0"/>
              <w:spacing w:before="0" w:after="0"/>
              <w:jc w:val="left"/>
              <w:rPr/>
            </w:pPr>
            <w:r>
              <w:rPr/>
              <w:t>HSOP Partnership</w:t>
            </w:r>
          </w:p>
        </w:tc>
        <w:tc>
          <w:tcPr>
            <w:tcW w:w="1745" w:type="dxa"/>
            <w:tcBorders/>
            <w:vAlign w:val="center"/>
          </w:tcPr>
          <w:p>
            <w:pPr>
              <w:pStyle w:val="TableContents"/>
              <w:bidi w:val="0"/>
              <w:spacing w:before="0" w:after="0"/>
              <w:jc w:val="right"/>
              <w:rPr/>
            </w:pPr>
            <w:r>
              <w:rPr/>
              <w:t>Section 5.16(c)</w:t>
            </w:r>
          </w:p>
        </w:tc>
      </w:tr>
      <w:tr>
        <w:trPr/>
        <w:tc>
          <w:tcPr>
            <w:tcW w:w="3995" w:type="dxa"/>
            <w:tcBorders/>
            <w:vAlign w:val="center"/>
          </w:tcPr>
          <w:p>
            <w:pPr>
              <w:pStyle w:val="TableContents"/>
              <w:bidi w:val="0"/>
              <w:spacing w:before="0" w:after="0"/>
              <w:jc w:val="left"/>
              <w:rPr/>
            </w:pPr>
            <w:r>
              <w:rPr/>
              <w:t>Indemnified Party</w:t>
            </w:r>
          </w:p>
        </w:tc>
        <w:tc>
          <w:tcPr>
            <w:tcW w:w="1745" w:type="dxa"/>
            <w:tcBorders/>
            <w:vAlign w:val="center"/>
          </w:tcPr>
          <w:p>
            <w:pPr>
              <w:pStyle w:val="TableContents"/>
              <w:bidi w:val="0"/>
              <w:spacing w:before="0" w:after="0"/>
              <w:jc w:val="right"/>
              <w:rPr/>
            </w:pPr>
            <w:r>
              <w:rPr/>
              <w:t>Section 5.6(a)</w:t>
            </w:r>
          </w:p>
        </w:tc>
      </w:tr>
      <w:tr>
        <w:trPr/>
        <w:tc>
          <w:tcPr>
            <w:tcW w:w="3995" w:type="dxa"/>
            <w:tcBorders/>
            <w:vAlign w:val="center"/>
          </w:tcPr>
          <w:p>
            <w:pPr>
              <w:pStyle w:val="TableContents"/>
              <w:bidi w:val="0"/>
              <w:spacing w:before="0" w:after="0"/>
              <w:jc w:val="left"/>
              <w:rPr/>
            </w:pPr>
            <w:r>
              <w:rPr/>
              <w:t>Intentional Breach</w:t>
            </w:r>
          </w:p>
        </w:tc>
        <w:tc>
          <w:tcPr>
            <w:tcW w:w="1745" w:type="dxa"/>
            <w:tcBorders/>
            <w:vAlign w:val="center"/>
          </w:tcPr>
          <w:p>
            <w:pPr>
              <w:pStyle w:val="TableContents"/>
              <w:bidi w:val="0"/>
              <w:spacing w:before="0" w:after="0"/>
              <w:jc w:val="right"/>
              <w:rPr/>
            </w:pPr>
            <w:r>
              <w:rPr/>
              <w:t>Section 7.5(a)</w:t>
            </w:r>
          </w:p>
        </w:tc>
      </w:tr>
      <w:tr>
        <w:trPr/>
        <w:tc>
          <w:tcPr>
            <w:tcW w:w="3995" w:type="dxa"/>
            <w:tcBorders/>
            <w:vAlign w:val="center"/>
          </w:tcPr>
          <w:p>
            <w:pPr>
              <w:pStyle w:val="TableContents"/>
              <w:bidi w:val="0"/>
              <w:spacing w:before="0" w:after="0"/>
              <w:jc w:val="left"/>
              <w:rPr/>
            </w:pPr>
            <w:r>
              <w:rPr/>
              <w:t>Labor Agreements</w:t>
            </w:r>
          </w:p>
        </w:tc>
        <w:tc>
          <w:tcPr>
            <w:tcW w:w="1745" w:type="dxa"/>
            <w:tcBorders/>
            <w:vAlign w:val="center"/>
          </w:tcPr>
          <w:p>
            <w:pPr>
              <w:pStyle w:val="TableContents"/>
              <w:bidi w:val="0"/>
              <w:spacing w:before="0" w:after="0"/>
              <w:jc w:val="right"/>
              <w:rPr/>
            </w:pPr>
            <w:r>
              <w:rPr/>
              <w:t>Section 3.12(a)(ii)</w:t>
            </w:r>
          </w:p>
        </w:tc>
      </w:tr>
      <w:tr>
        <w:trPr/>
        <w:tc>
          <w:tcPr>
            <w:tcW w:w="3995" w:type="dxa"/>
            <w:tcBorders/>
            <w:vAlign w:val="center"/>
          </w:tcPr>
          <w:p>
            <w:pPr>
              <w:pStyle w:val="TableContents"/>
              <w:bidi w:val="0"/>
              <w:spacing w:before="0" w:after="0"/>
              <w:jc w:val="left"/>
              <w:rPr/>
            </w:pPr>
            <w:r>
              <w:rPr/>
              <w:t>Material Suppliers</w:t>
            </w:r>
          </w:p>
        </w:tc>
        <w:tc>
          <w:tcPr>
            <w:tcW w:w="1745" w:type="dxa"/>
            <w:tcBorders/>
            <w:vAlign w:val="center"/>
          </w:tcPr>
          <w:p>
            <w:pPr>
              <w:pStyle w:val="TableContents"/>
              <w:bidi w:val="0"/>
              <w:spacing w:before="0" w:after="0"/>
              <w:jc w:val="right"/>
              <w:rPr/>
            </w:pPr>
            <w:r>
              <w:rPr/>
              <w:t>Section 3.20</w:t>
            </w:r>
          </w:p>
        </w:tc>
      </w:tr>
      <w:tr>
        <w:trPr/>
        <w:tc>
          <w:tcPr>
            <w:tcW w:w="3995" w:type="dxa"/>
            <w:tcBorders/>
            <w:vAlign w:val="center"/>
          </w:tcPr>
          <w:p>
            <w:pPr>
              <w:pStyle w:val="TableContents"/>
              <w:bidi w:val="0"/>
              <w:spacing w:before="0" w:after="0"/>
              <w:jc w:val="left"/>
              <w:rPr/>
            </w:pPr>
            <w:r>
              <w:rPr/>
              <w:t>Maximum Amount</w:t>
            </w:r>
          </w:p>
        </w:tc>
        <w:tc>
          <w:tcPr>
            <w:tcW w:w="1745" w:type="dxa"/>
            <w:tcBorders/>
            <w:vAlign w:val="center"/>
          </w:tcPr>
          <w:p>
            <w:pPr>
              <w:pStyle w:val="TableContents"/>
              <w:bidi w:val="0"/>
              <w:spacing w:before="0" w:after="0"/>
              <w:jc w:val="right"/>
              <w:rPr/>
            </w:pPr>
            <w:r>
              <w:rPr/>
              <w:t>Section 5.6(b)</w:t>
            </w:r>
          </w:p>
        </w:tc>
      </w:tr>
      <w:tr>
        <w:trPr/>
        <w:tc>
          <w:tcPr>
            <w:tcW w:w="3995" w:type="dxa"/>
            <w:tcBorders/>
            <w:vAlign w:val="center"/>
          </w:tcPr>
          <w:p>
            <w:pPr>
              <w:pStyle w:val="TableContents"/>
              <w:bidi w:val="0"/>
              <w:spacing w:before="0" w:after="0"/>
              <w:jc w:val="left"/>
              <w:rPr/>
            </w:pPr>
            <w:r>
              <w:rPr/>
              <w:t>Measurement Date</w:t>
            </w:r>
          </w:p>
        </w:tc>
        <w:tc>
          <w:tcPr>
            <w:tcW w:w="1745" w:type="dxa"/>
            <w:tcBorders/>
            <w:vAlign w:val="center"/>
          </w:tcPr>
          <w:p>
            <w:pPr>
              <w:pStyle w:val="TableContents"/>
              <w:bidi w:val="0"/>
              <w:spacing w:before="0" w:after="0"/>
              <w:jc w:val="right"/>
              <w:rPr/>
            </w:pPr>
            <w:r>
              <w:rPr/>
              <w:t>Section 3.3(a)</w:t>
            </w:r>
          </w:p>
        </w:tc>
      </w:tr>
      <w:tr>
        <w:trPr/>
        <w:tc>
          <w:tcPr>
            <w:tcW w:w="3995" w:type="dxa"/>
            <w:tcBorders/>
            <w:vAlign w:val="center"/>
          </w:tcPr>
          <w:p>
            <w:pPr>
              <w:pStyle w:val="TableContents"/>
              <w:bidi w:val="0"/>
              <w:spacing w:before="0" w:after="0"/>
              <w:jc w:val="left"/>
              <w:rPr/>
            </w:pPr>
            <w:r>
              <w:rPr/>
              <w:t>Merger</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Merger Consideration</w:t>
            </w:r>
          </w:p>
        </w:tc>
        <w:tc>
          <w:tcPr>
            <w:tcW w:w="1745" w:type="dxa"/>
            <w:tcBorders/>
            <w:vAlign w:val="center"/>
          </w:tcPr>
          <w:p>
            <w:pPr>
              <w:pStyle w:val="TableContents"/>
              <w:bidi w:val="0"/>
              <w:spacing w:before="0" w:after="0"/>
              <w:jc w:val="right"/>
              <w:rPr/>
            </w:pPr>
            <w:r>
              <w:rPr/>
              <w:t>Section 2.1(a)</w:t>
            </w:r>
          </w:p>
        </w:tc>
      </w:tr>
      <w:tr>
        <w:trPr/>
        <w:tc>
          <w:tcPr>
            <w:tcW w:w="3995" w:type="dxa"/>
            <w:tcBorders/>
            <w:vAlign w:val="center"/>
          </w:tcPr>
          <w:p>
            <w:pPr>
              <w:pStyle w:val="TableContents"/>
              <w:bidi w:val="0"/>
              <w:spacing w:before="0" w:after="0"/>
              <w:jc w:val="left"/>
              <w:rPr/>
            </w:pPr>
            <w:r>
              <w:rPr/>
              <w:t>Nasdaq</w:t>
            </w:r>
          </w:p>
        </w:tc>
        <w:tc>
          <w:tcPr>
            <w:tcW w:w="1745" w:type="dxa"/>
            <w:tcBorders/>
            <w:vAlign w:val="center"/>
          </w:tcPr>
          <w:p>
            <w:pPr>
              <w:pStyle w:val="TableContents"/>
              <w:bidi w:val="0"/>
              <w:spacing w:before="0" w:after="0"/>
              <w:jc w:val="right"/>
              <w:rPr/>
            </w:pPr>
            <w:r>
              <w:rPr/>
              <w:t>Section 3.5</w:t>
            </w:r>
          </w:p>
        </w:tc>
      </w:tr>
      <w:tr>
        <w:trPr/>
        <w:tc>
          <w:tcPr>
            <w:tcW w:w="3995" w:type="dxa"/>
            <w:tcBorders/>
            <w:vAlign w:val="center"/>
          </w:tcPr>
          <w:p>
            <w:pPr>
              <w:pStyle w:val="TableContents"/>
              <w:bidi w:val="0"/>
              <w:spacing w:before="0" w:after="0"/>
              <w:jc w:val="left"/>
              <w:rPr/>
            </w:pPr>
            <w:r>
              <w:rPr/>
              <w:t>OECD Convention</w:t>
            </w:r>
          </w:p>
        </w:tc>
        <w:tc>
          <w:tcPr>
            <w:tcW w:w="1745" w:type="dxa"/>
            <w:tcBorders/>
            <w:vAlign w:val="center"/>
          </w:tcPr>
          <w:p>
            <w:pPr>
              <w:pStyle w:val="TableContents"/>
              <w:bidi w:val="0"/>
              <w:spacing w:before="0" w:after="0"/>
              <w:jc w:val="right"/>
              <w:rPr/>
            </w:pPr>
            <w:r>
              <w:rPr/>
              <w:t>Section 3.19(n)</w:t>
            </w:r>
          </w:p>
        </w:tc>
      </w:tr>
      <w:tr>
        <w:trPr/>
        <w:tc>
          <w:tcPr>
            <w:tcW w:w="3995" w:type="dxa"/>
            <w:tcBorders/>
            <w:vAlign w:val="center"/>
          </w:tcPr>
          <w:p>
            <w:pPr>
              <w:pStyle w:val="TableContents"/>
              <w:bidi w:val="0"/>
              <w:spacing w:before="0" w:after="0"/>
              <w:jc w:val="left"/>
              <w:rPr/>
            </w:pPr>
            <w:r>
              <w:rPr/>
              <w:t>Outside Date</w:t>
            </w:r>
          </w:p>
        </w:tc>
        <w:tc>
          <w:tcPr>
            <w:tcW w:w="1745" w:type="dxa"/>
            <w:tcBorders/>
            <w:vAlign w:val="center"/>
          </w:tcPr>
          <w:p>
            <w:pPr>
              <w:pStyle w:val="TableContents"/>
              <w:bidi w:val="0"/>
              <w:spacing w:before="0" w:after="0"/>
              <w:jc w:val="right"/>
              <w:rPr/>
            </w:pPr>
            <w:r>
              <w:rPr/>
              <w:t>Section 7.2(b)</w:t>
            </w:r>
          </w:p>
        </w:tc>
      </w:tr>
      <w:tr>
        <w:trPr/>
        <w:tc>
          <w:tcPr>
            <w:tcW w:w="3995" w:type="dxa"/>
            <w:tcBorders/>
            <w:vAlign w:val="center"/>
          </w:tcPr>
          <w:p>
            <w:pPr>
              <w:pStyle w:val="TableContents"/>
              <w:bidi w:val="0"/>
              <w:spacing w:before="0" w:after="0"/>
              <w:jc w:val="left"/>
              <w:rPr/>
            </w:pPr>
            <w:r>
              <w:rPr/>
              <w:t>Parent</w:t>
            </w:r>
          </w:p>
        </w:tc>
        <w:tc>
          <w:tcPr>
            <w:tcW w:w="1745" w:type="dxa"/>
            <w:tcBorders/>
            <w:vAlign w:val="center"/>
          </w:tcPr>
          <w:p>
            <w:pPr>
              <w:pStyle w:val="TableContents"/>
              <w:bidi w:val="0"/>
              <w:spacing w:before="0" w:after="0"/>
              <w:jc w:val="right"/>
              <w:rPr/>
            </w:pPr>
            <w:r>
              <w:rPr/>
              <w:t>Preamble</w:t>
            </w:r>
          </w:p>
        </w:tc>
      </w:tr>
      <w:tr>
        <w:trPr/>
        <w:tc>
          <w:tcPr>
            <w:tcW w:w="3995" w:type="dxa"/>
            <w:tcBorders/>
            <w:vAlign w:val="center"/>
          </w:tcPr>
          <w:p>
            <w:pPr>
              <w:pStyle w:val="TableContents"/>
              <w:bidi w:val="0"/>
              <w:spacing w:before="0" w:after="0"/>
              <w:jc w:val="left"/>
              <w:rPr/>
            </w:pPr>
            <w:r>
              <w:rPr/>
              <w:t>Paying Agent</w:t>
            </w:r>
          </w:p>
        </w:tc>
        <w:tc>
          <w:tcPr>
            <w:tcW w:w="1745" w:type="dxa"/>
            <w:tcBorders/>
            <w:vAlign w:val="center"/>
          </w:tcPr>
          <w:p>
            <w:pPr>
              <w:pStyle w:val="TableContents"/>
              <w:bidi w:val="0"/>
              <w:spacing w:before="0" w:after="0"/>
              <w:jc w:val="right"/>
              <w:rPr/>
            </w:pPr>
            <w:r>
              <w:rPr/>
              <w:t>Section 2.5(a)</w:t>
            </w:r>
          </w:p>
        </w:tc>
      </w:tr>
    </w:tbl>
    <w:p>
      <w:pPr>
        <w:pStyle w:val="TextBody"/>
        <w:bidi w:val="0"/>
        <w:spacing w:before="0" w:after="0"/>
        <w:ind w:left="72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pBdr>
          <w:bottom w:val="single" w:sz="12" w:space="0" w:color="808080"/>
        </w:pBdr>
        <w:bidi w:val="0"/>
        <w:spacing w:before="200" w:after="200"/>
        <w:jc w:val="left"/>
        <w:rPr/>
      </w:pPr>
      <w:r>
        <w:rPr/>
      </w:r>
    </w:p>
    <w:tbl>
      <w:tblPr>
        <w:tblW w:w="5890" w:type="dxa"/>
        <w:jc w:val="left"/>
        <w:tblInd w:w="720" w:type="dxa"/>
        <w:tblLayout w:type="fixed"/>
        <w:tblCellMar>
          <w:top w:w="0" w:type="dxa"/>
          <w:left w:w="0" w:type="dxa"/>
          <w:bottom w:w="0" w:type="dxa"/>
          <w:right w:w="0" w:type="dxa"/>
        </w:tblCellMar>
      </w:tblPr>
      <w:tblGrid>
        <w:gridCol w:w="4085"/>
        <w:gridCol w:w="1805"/>
      </w:tblGrid>
      <w:tr>
        <w:trPr/>
        <w:tc>
          <w:tcPr>
            <w:tcW w:w="4085" w:type="dxa"/>
            <w:tcBorders/>
            <w:vAlign w:val="center"/>
          </w:tcPr>
          <w:p>
            <w:pPr>
              <w:pStyle w:val="TableContents"/>
              <w:bidi w:val="0"/>
              <w:spacing w:before="0" w:after="0"/>
              <w:jc w:val="left"/>
              <w:rPr/>
            </w:pPr>
            <w:r>
              <w:rPr/>
              <w:t>Payor</w:t>
            </w:r>
          </w:p>
        </w:tc>
        <w:tc>
          <w:tcPr>
            <w:tcW w:w="1805" w:type="dxa"/>
            <w:tcBorders/>
            <w:vAlign w:val="center"/>
          </w:tcPr>
          <w:p>
            <w:pPr>
              <w:pStyle w:val="TableContents"/>
              <w:bidi w:val="0"/>
              <w:spacing w:before="0" w:after="0"/>
              <w:jc w:val="right"/>
              <w:rPr/>
            </w:pPr>
            <w:r>
              <w:rPr/>
              <w:t>Section 3.6</w:t>
            </w:r>
          </w:p>
        </w:tc>
      </w:tr>
      <w:tr>
        <w:trPr/>
        <w:tc>
          <w:tcPr>
            <w:tcW w:w="4085" w:type="dxa"/>
            <w:tcBorders/>
            <w:vAlign w:val="center"/>
          </w:tcPr>
          <w:p>
            <w:pPr>
              <w:pStyle w:val="TableContents"/>
              <w:bidi w:val="0"/>
              <w:spacing w:before="0" w:after="0"/>
              <w:jc w:val="left"/>
              <w:rPr/>
            </w:pPr>
            <w:r>
              <w:rPr/>
              <w:t>PHSA</w:t>
            </w:r>
          </w:p>
        </w:tc>
        <w:tc>
          <w:tcPr>
            <w:tcW w:w="1805" w:type="dxa"/>
            <w:tcBorders/>
            <w:vAlign w:val="center"/>
          </w:tcPr>
          <w:p>
            <w:pPr>
              <w:pStyle w:val="TableContents"/>
              <w:bidi w:val="0"/>
              <w:spacing w:before="0" w:after="0"/>
              <w:jc w:val="right"/>
              <w:rPr/>
            </w:pPr>
            <w:r>
              <w:rPr/>
              <w:t>Section 3.19(a)</w:t>
            </w:r>
          </w:p>
        </w:tc>
      </w:tr>
      <w:tr>
        <w:trPr/>
        <w:tc>
          <w:tcPr>
            <w:tcW w:w="4085" w:type="dxa"/>
            <w:tcBorders/>
            <w:vAlign w:val="center"/>
          </w:tcPr>
          <w:p>
            <w:pPr>
              <w:pStyle w:val="TableContents"/>
              <w:bidi w:val="0"/>
              <w:spacing w:before="0" w:after="0"/>
              <w:jc w:val="left"/>
              <w:rPr/>
            </w:pPr>
            <w:r>
              <w:rPr/>
              <w:t>Pre-Closing Period</w:t>
            </w:r>
          </w:p>
        </w:tc>
        <w:tc>
          <w:tcPr>
            <w:tcW w:w="1805" w:type="dxa"/>
            <w:tcBorders/>
            <w:vAlign w:val="center"/>
          </w:tcPr>
          <w:p>
            <w:pPr>
              <w:pStyle w:val="TableContents"/>
              <w:bidi w:val="0"/>
              <w:spacing w:before="0" w:after="0"/>
              <w:jc w:val="right"/>
              <w:rPr/>
            </w:pPr>
            <w:r>
              <w:rPr/>
              <w:t>Section 5.1(a)</w:t>
            </w:r>
          </w:p>
        </w:tc>
      </w:tr>
      <w:tr>
        <w:trPr/>
        <w:tc>
          <w:tcPr>
            <w:tcW w:w="4085" w:type="dxa"/>
            <w:tcBorders/>
            <w:vAlign w:val="center"/>
          </w:tcPr>
          <w:p>
            <w:pPr>
              <w:pStyle w:val="TableContents"/>
              <w:bidi w:val="0"/>
              <w:spacing w:before="0" w:after="0"/>
              <w:jc w:val="left"/>
              <w:rPr/>
            </w:pPr>
            <w:r>
              <w:rPr/>
              <w:t>Privacy Policy</w:t>
            </w:r>
          </w:p>
        </w:tc>
        <w:tc>
          <w:tcPr>
            <w:tcW w:w="1805" w:type="dxa"/>
            <w:tcBorders/>
            <w:vAlign w:val="center"/>
          </w:tcPr>
          <w:p>
            <w:pPr>
              <w:pStyle w:val="TableContents"/>
              <w:bidi w:val="0"/>
              <w:spacing w:before="0" w:after="0"/>
              <w:jc w:val="right"/>
              <w:rPr/>
            </w:pPr>
            <w:r>
              <w:rPr/>
              <w:t>Section 3.19(p)</w:t>
            </w:r>
          </w:p>
        </w:tc>
      </w:tr>
      <w:tr>
        <w:trPr/>
        <w:tc>
          <w:tcPr>
            <w:tcW w:w="4085" w:type="dxa"/>
            <w:tcBorders/>
            <w:vAlign w:val="center"/>
          </w:tcPr>
          <w:p>
            <w:pPr>
              <w:pStyle w:val="TableContents"/>
              <w:bidi w:val="0"/>
              <w:spacing w:before="0" w:after="0"/>
              <w:jc w:val="left"/>
              <w:rPr/>
            </w:pPr>
            <w:r>
              <w:rPr/>
              <w:t>Privacy Requirements</w:t>
            </w:r>
          </w:p>
        </w:tc>
        <w:tc>
          <w:tcPr>
            <w:tcW w:w="1805" w:type="dxa"/>
            <w:tcBorders/>
            <w:vAlign w:val="center"/>
          </w:tcPr>
          <w:p>
            <w:pPr>
              <w:pStyle w:val="TableContents"/>
              <w:bidi w:val="0"/>
              <w:spacing w:before="0" w:after="0"/>
              <w:jc w:val="right"/>
              <w:rPr/>
            </w:pPr>
            <w:r>
              <w:rPr/>
              <w:t>Section 3.19(p)</w:t>
            </w:r>
          </w:p>
        </w:tc>
      </w:tr>
      <w:tr>
        <w:trPr/>
        <w:tc>
          <w:tcPr>
            <w:tcW w:w="4085" w:type="dxa"/>
            <w:tcBorders/>
            <w:vAlign w:val="center"/>
          </w:tcPr>
          <w:p>
            <w:pPr>
              <w:pStyle w:val="TableContents"/>
              <w:bidi w:val="0"/>
              <w:spacing w:before="0" w:after="0"/>
              <w:jc w:val="left"/>
              <w:rPr/>
            </w:pPr>
            <w:r>
              <w:rPr/>
              <w:t>Prohibited Payment</w:t>
            </w:r>
          </w:p>
        </w:tc>
        <w:tc>
          <w:tcPr>
            <w:tcW w:w="1805" w:type="dxa"/>
            <w:tcBorders/>
            <w:vAlign w:val="center"/>
          </w:tcPr>
          <w:p>
            <w:pPr>
              <w:pStyle w:val="TableContents"/>
              <w:bidi w:val="0"/>
              <w:spacing w:before="0" w:after="0"/>
              <w:jc w:val="right"/>
              <w:rPr/>
            </w:pPr>
            <w:r>
              <w:rPr/>
              <w:t>Section 3.19(n)</w:t>
            </w:r>
          </w:p>
        </w:tc>
      </w:tr>
      <w:tr>
        <w:trPr/>
        <w:tc>
          <w:tcPr>
            <w:tcW w:w="4085" w:type="dxa"/>
            <w:tcBorders/>
            <w:vAlign w:val="center"/>
          </w:tcPr>
          <w:p>
            <w:pPr>
              <w:pStyle w:val="TableContents"/>
              <w:bidi w:val="0"/>
              <w:spacing w:before="0" w:after="0"/>
              <w:jc w:val="left"/>
              <w:rPr/>
            </w:pPr>
            <w:r>
              <w:rPr/>
              <w:t>Purchase Orders</w:t>
            </w:r>
          </w:p>
        </w:tc>
        <w:tc>
          <w:tcPr>
            <w:tcW w:w="1805" w:type="dxa"/>
            <w:tcBorders/>
            <w:vAlign w:val="center"/>
          </w:tcPr>
          <w:p>
            <w:pPr>
              <w:pStyle w:val="TableContents"/>
              <w:bidi w:val="0"/>
              <w:spacing w:before="0" w:after="0"/>
              <w:jc w:val="right"/>
              <w:rPr/>
            </w:pPr>
            <w:r>
              <w:rPr/>
              <w:t>Section 3.12(a)(xi)</w:t>
            </w:r>
          </w:p>
        </w:tc>
      </w:tr>
      <w:tr>
        <w:trPr/>
        <w:tc>
          <w:tcPr>
            <w:tcW w:w="4085" w:type="dxa"/>
            <w:tcBorders/>
            <w:vAlign w:val="center"/>
          </w:tcPr>
          <w:p>
            <w:pPr>
              <w:pStyle w:val="TableContents"/>
              <w:bidi w:val="0"/>
              <w:spacing w:before="0" w:after="0"/>
              <w:jc w:val="left"/>
              <w:rPr/>
            </w:pPr>
            <w:r>
              <w:rPr/>
              <w:t>Merger Sub</w:t>
            </w:r>
          </w:p>
        </w:tc>
        <w:tc>
          <w:tcPr>
            <w:tcW w:w="1805" w:type="dxa"/>
            <w:tcBorders/>
            <w:vAlign w:val="center"/>
          </w:tcPr>
          <w:p>
            <w:pPr>
              <w:pStyle w:val="TableContents"/>
              <w:bidi w:val="0"/>
              <w:spacing w:before="0" w:after="0"/>
              <w:jc w:val="right"/>
              <w:rPr/>
            </w:pPr>
            <w:r>
              <w:rPr/>
              <w:t>Preamble</w:t>
            </w:r>
          </w:p>
        </w:tc>
      </w:tr>
      <w:tr>
        <w:trPr/>
        <w:tc>
          <w:tcPr>
            <w:tcW w:w="4085" w:type="dxa"/>
            <w:tcBorders/>
            <w:vAlign w:val="center"/>
          </w:tcPr>
          <w:p>
            <w:pPr>
              <w:pStyle w:val="TableContents"/>
              <w:bidi w:val="0"/>
              <w:spacing w:before="0" w:after="0"/>
              <w:jc w:val="left"/>
              <w:rPr/>
            </w:pPr>
            <w:r>
              <w:rPr/>
              <w:t>Regulatory Authorizations</w:t>
            </w:r>
          </w:p>
        </w:tc>
        <w:tc>
          <w:tcPr>
            <w:tcW w:w="1805" w:type="dxa"/>
            <w:tcBorders/>
            <w:vAlign w:val="center"/>
          </w:tcPr>
          <w:p>
            <w:pPr>
              <w:pStyle w:val="TableContents"/>
              <w:bidi w:val="0"/>
              <w:spacing w:before="0" w:after="0"/>
              <w:jc w:val="right"/>
              <w:rPr/>
            </w:pPr>
            <w:r>
              <w:rPr/>
              <w:t>Section 3.19(a)</w:t>
            </w:r>
          </w:p>
        </w:tc>
      </w:tr>
      <w:tr>
        <w:trPr/>
        <w:tc>
          <w:tcPr>
            <w:tcW w:w="4085" w:type="dxa"/>
            <w:tcBorders/>
            <w:vAlign w:val="center"/>
          </w:tcPr>
          <w:p>
            <w:pPr>
              <w:pStyle w:val="TableContents"/>
              <w:bidi w:val="0"/>
              <w:spacing w:before="0" w:after="0"/>
              <w:jc w:val="left"/>
              <w:rPr/>
            </w:pPr>
            <w:r>
              <w:rPr/>
              <w:t>Regulatory Correspondence</w:t>
            </w:r>
          </w:p>
        </w:tc>
        <w:tc>
          <w:tcPr>
            <w:tcW w:w="1805" w:type="dxa"/>
            <w:tcBorders/>
            <w:vAlign w:val="center"/>
          </w:tcPr>
          <w:p>
            <w:pPr>
              <w:pStyle w:val="TableContents"/>
              <w:bidi w:val="0"/>
              <w:spacing w:before="0" w:after="0"/>
              <w:jc w:val="right"/>
              <w:rPr/>
            </w:pPr>
            <w:r>
              <w:rPr/>
              <w:t>Section 3.19(a)</w:t>
            </w:r>
          </w:p>
        </w:tc>
      </w:tr>
      <w:tr>
        <w:trPr/>
        <w:tc>
          <w:tcPr>
            <w:tcW w:w="4085" w:type="dxa"/>
            <w:tcBorders/>
            <w:vAlign w:val="center"/>
          </w:tcPr>
          <w:p>
            <w:pPr>
              <w:pStyle w:val="TableContents"/>
              <w:bidi w:val="0"/>
              <w:spacing w:before="0" w:after="0"/>
              <w:jc w:val="left"/>
              <w:rPr/>
            </w:pPr>
            <w:r>
              <w:rPr/>
              <w:t>Rights Agent</w:t>
            </w:r>
          </w:p>
        </w:tc>
        <w:tc>
          <w:tcPr>
            <w:tcW w:w="1805" w:type="dxa"/>
            <w:tcBorders/>
            <w:vAlign w:val="center"/>
          </w:tcPr>
          <w:p>
            <w:pPr>
              <w:pStyle w:val="TableContents"/>
              <w:bidi w:val="0"/>
              <w:spacing w:before="0" w:after="0"/>
              <w:jc w:val="right"/>
              <w:rPr/>
            </w:pPr>
            <w:r>
              <w:rPr/>
              <w:t>Recitals</w:t>
            </w:r>
          </w:p>
        </w:tc>
      </w:tr>
      <w:tr>
        <w:trPr/>
        <w:tc>
          <w:tcPr>
            <w:tcW w:w="4085" w:type="dxa"/>
            <w:tcBorders/>
            <w:vAlign w:val="center"/>
          </w:tcPr>
          <w:p>
            <w:pPr>
              <w:pStyle w:val="TableContents"/>
              <w:bidi w:val="0"/>
              <w:spacing w:before="0" w:after="0"/>
              <w:jc w:val="left"/>
              <w:rPr/>
            </w:pPr>
            <w:r>
              <w:rPr/>
              <w:t>Sarbanes-Oxley</w:t>
            </w:r>
          </w:p>
        </w:tc>
        <w:tc>
          <w:tcPr>
            <w:tcW w:w="1805" w:type="dxa"/>
            <w:tcBorders/>
            <w:vAlign w:val="center"/>
          </w:tcPr>
          <w:p>
            <w:pPr>
              <w:pStyle w:val="TableContents"/>
              <w:bidi w:val="0"/>
              <w:spacing w:before="0" w:after="0"/>
              <w:jc w:val="right"/>
              <w:rPr/>
            </w:pPr>
            <w:r>
              <w:rPr/>
              <w:t>Section 3.9(d)</w:t>
            </w:r>
          </w:p>
        </w:tc>
      </w:tr>
      <w:tr>
        <w:trPr/>
        <w:tc>
          <w:tcPr>
            <w:tcW w:w="4085" w:type="dxa"/>
            <w:tcBorders/>
            <w:vAlign w:val="center"/>
          </w:tcPr>
          <w:p>
            <w:pPr>
              <w:pStyle w:val="TableContents"/>
              <w:bidi w:val="0"/>
              <w:spacing w:before="0" w:after="0"/>
              <w:jc w:val="left"/>
              <w:rPr/>
            </w:pPr>
            <w:r>
              <w:rPr/>
              <w:t>SEC</w:t>
            </w:r>
          </w:p>
        </w:tc>
        <w:tc>
          <w:tcPr>
            <w:tcW w:w="1805" w:type="dxa"/>
            <w:tcBorders/>
            <w:vAlign w:val="center"/>
          </w:tcPr>
          <w:p>
            <w:pPr>
              <w:pStyle w:val="TableContents"/>
              <w:bidi w:val="0"/>
              <w:spacing w:before="0" w:after="0"/>
              <w:jc w:val="right"/>
              <w:rPr/>
            </w:pPr>
            <w:r>
              <w:rPr/>
              <w:t>Section 3.6(a)</w:t>
            </w:r>
          </w:p>
        </w:tc>
      </w:tr>
      <w:tr>
        <w:trPr/>
        <w:tc>
          <w:tcPr>
            <w:tcW w:w="4085" w:type="dxa"/>
            <w:tcBorders/>
            <w:vAlign w:val="center"/>
          </w:tcPr>
          <w:p>
            <w:pPr>
              <w:pStyle w:val="TableContents"/>
              <w:bidi w:val="0"/>
              <w:spacing w:before="0" w:after="0"/>
              <w:jc w:val="left"/>
              <w:rPr/>
            </w:pPr>
            <w:r>
              <w:rPr/>
              <w:t>Securities Act</w:t>
            </w:r>
          </w:p>
        </w:tc>
        <w:tc>
          <w:tcPr>
            <w:tcW w:w="1805" w:type="dxa"/>
            <w:tcBorders/>
            <w:vAlign w:val="center"/>
          </w:tcPr>
          <w:p>
            <w:pPr>
              <w:pStyle w:val="TableContents"/>
              <w:bidi w:val="0"/>
              <w:spacing w:before="0" w:after="0"/>
              <w:jc w:val="right"/>
              <w:rPr/>
            </w:pPr>
            <w:r>
              <w:rPr/>
              <w:t>Section 3.6(a)</w:t>
            </w:r>
          </w:p>
        </w:tc>
      </w:tr>
      <w:tr>
        <w:trPr/>
        <w:tc>
          <w:tcPr>
            <w:tcW w:w="4085" w:type="dxa"/>
            <w:tcBorders/>
            <w:vAlign w:val="center"/>
          </w:tcPr>
          <w:p>
            <w:pPr>
              <w:pStyle w:val="TableContents"/>
              <w:bidi w:val="0"/>
              <w:spacing w:before="0" w:after="0"/>
              <w:jc w:val="left"/>
              <w:rPr/>
            </w:pPr>
            <w:r>
              <w:rPr/>
              <w:t>Security Incident</w:t>
            </w:r>
          </w:p>
        </w:tc>
        <w:tc>
          <w:tcPr>
            <w:tcW w:w="1805" w:type="dxa"/>
            <w:tcBorders/>
            <w:vAlign w:val="center"/>
          </w:tcPr>
          <w:p>
            <w:pPr>
              <w:pStyle w:val="TableContents"/>
              <w:bidi w:val="0"/>
              <w:spacing w:before="0" w:after="0"/>
              <w:jc w:val="right"/>
              <w:rPr/>
            </w:pPr>
            <w:r>
              <w:rPr/>
              <w:t>Section 3.19(q)</w:t>
            </w:r>
          </w:p>
        </w:tc>
      </w:tr>
      <w:tr>
        <w:trPr/>
        <w:tc>
          <w:tcPr>
            <w:tcW w:w="4085" w:type="dxa"/>
            <w:tcBorders/>
            <w:vAlign w:val="center"/>
          </w:tcPr>
          <w:p>
            <w:pPr>
              <w:pStyle w:val="TableContents"/>
              <w:bidi w:val="0"/>
              <w:spacing w:before="0" w:after="0"/>
              <w:jc w:val="left"/>
              <w:rPr/>
            </w:pPr>
            <w:r>
              <w:rPr/>
              <w:t>Share</w:t>
            </w:r>
          </w:p>
        </w:tc>
        <w:tc>
          <w:tcPr>
            <w:tcW w:w="1805" w:type="dxa"/>
            <w:tcBorders/>
            <w:vAlign w:val="center"/>
          </w:tcPr>
          <w:p>
            <w:pPr>
              <w:pStyle w:val="TableContents"/>
              <w:bidi w:val="0"/>
              <w:spacing w:before="0" w:after="0"/>
              <w:jc w:val="right"/>
              <w:rPr/>
            </w:pPr>
            <w:r>
              <w:rPr/>
              <w:t>Recitals</w:t>
            </w:r>
          </w:p>
        </w:tc>
      </w:tr>
      <w:tr>
        <w:trPr/>
        <w:tc>
          <w:tcPr>
            <w:tcW w:w="4085" w:type="dxa"/>
            <w:tcBorders/>
            <w:vAlign w:val="center"/>
          </w:tcPr>
          <w:p>
            <w:pPr>
              <w:pStyle w:val="TableContents"/>
              <w:bidi w:val="0"/>
              <w:spacing w:before="0" w:after="0"/>
              <w:jc w:val="left"/>
              <w:rPr/>
            </w:pPr>
            <w:r>
              <w:rPr/>
              <w:t>Shares</w:t>
            </w:r>
          </w:p>
        </w:tc>
        <w:tc>
          <w:tcPr>
            <w:tcW w:w="1805" w:type="dxa"/>
            <w:tcBorders/>
            <w:vAlign w:val="center"/>
          </w:tcPr>
          <w:p>
            <w:pPr>
              <w:pStyle w:val="TableContents"/>
              <w:bidi w:val="0"/>
              <w:spacing w:before="0" w:after="0"/>
              <w:jc w:val="right"/>
              <w:rPr/>
            </w:pPr>
            <w:r>
              <w:rPr/>
              <w:t>Recitals</w:t>
            </w:r>
          </w:p>
        </w:tc>
      </w:tr>
      <w:tr>
        <w:trPr/>
        <w:tc>
          <w:tcPr>
            <w:tcW w:w="4085" w:type="dxa"/>
            <w:tcBorders/>
            <w:vAlign w:val="center"/>
          </w:tcPr>
          <w:p>
            <w:pPr>
              <w:pStyle w:val="TableContents"/>
              <w:bidi w:val="0"/>
              <w:spacing w:before="0" w:after="0"/>
              <w:jc w:val="left"/>
              <w:rPr/>
            </w:pPr>
            <w:r>
              <w:rPr/>
              <w:t>Stockholder Litigation</w:t>
            </w:r>
          </w:p>
        </w:tc>
        <w:tc>
          <w:tcPr>
            <w:tcW w:w="1805" w:type="dxa"/>
            <w:tcBorders/>
            <w:vAlign w:val="center"/>
          </w:tcPr>
          <w:p>
            <w:pPr>
              <w:pStyle w:val="TableContents"/>
              <w:bidi w:val="0"/>
              <w:spacing w:before="0" w:after="0"/>
              <w:jc w:val="right"/>
              <w:rPr/>
            </w:pPr>
            <w:r>
              <w:rPr/>
              <w:t>Section 3.6(a)</w:t>
            </w:r>
          </w:p>
        </w:tc>
      </w:tr>
      <w:tr>
        <w:trPr/>
        <w:tc>
          <w:tcPr>
            <w:tcW w:w="4085" w:type="dxa"/>
            <w:tcBorders/>
            <w:vAlign w:val="center"/>
          </w:tcPr>
          <w:p>
            <w:pPr>
              <w:pStyle w:val="TableContents"/>
              <w:bidi w:val="0"/>
              <w:spacing w:before="0" w:after="0"/>
              <w:jc w:val="left"/>
              <w:rPr/>
            </w:pPr>
            <w:r>
              <w:rPr/>
              <w:t>Subsidiary Award Termination Agreement</w:t>
            </w:r>
          </w:p>
        </w:tc>
        <w:tc>
          <w:tcPr>
            <w:tcW w:w="1805" w:type="dxa"/>
            <w:tcBorders/>
            <w:vAlign w:val="center"/>
          </w:tcPr>
          <w:p>
            <w:pPr>
              <w:pStyle w:val="TableContents"/>
              <w:bidi w:val="0"/>
              <w:spacing w:before="0" w:after="0"/>
              <w:jc w:val="right"/>
              <w:rPr/>
            </w:pPr>
            <w:r>
              <w:rPr/>
              <w:t>Section 5.16(a)</w:t>
            </w:r>
          </w:p>
        </w:tc>
      </w:tr>
      <w:tr>
        <w:trPr/>
        <w:tc>
          <w:tcPr>
            <w:tcW w:w="4085" w:type="dxa"/>
            <w:tcBorders/>
            <w:vAlign w:val="center"/>
          </w:tcPr>
          <w:p>
            <w:pPr>
              <w:pStyle w:val="TableContents"/>
              <w:bidi w:val="0"/>
              <w:spacing w:before="0" w:after="0"/>
              <w:jc w:val="left"/>
              <w:rPr/>
            </w:pPr>
            <w:r>
              <w:rPr/>
              <w:t>Surviving Corporation</w:t>
            </w:r>
          </w:p>
        </w:tc>
        <w:tc>
          <w:tcPr>
            <w:tcW w:w="1805" w:type="dxa"/>
            <w:tcBorders/>
            <w:vAlign w:val="center"/>
          </w:tcPr>
          <w:p>
            <w:pPr>
              <w:pStyle w:val="TableContents"/>
              <w:bidi w:val="0"/>
              <w:spacing w:before="0" w:after="0"/>
              <w:jc w:val="right"/>
              <w:rPr/>
            </w:pPr>
            <w:r>
              <w:rPr/>
              <w:t>Section 1.1</w:t>
            </w:r>
          </w:p>
        </w:tc>
      </w:tr>
      <w:tr>
        <w:trPr/>
        <w:tc>
          <w:tcPr>
            <w:tcW w:w="4085" w:type="dxa"/>
            <w:tcBorders/>
            <w:vAlign w:val="center"/>
          </w:tcPr>
          <w:p>
            <w:pPr>
              <w:pStyle w:val="TableContents"/>
              <w:bidi w:val="0"/>
              <w:spacing w:before="0" w:after="0"/>
              <w:jc w:val="left"/>
              <w:rPr/>
            </w:pPr>
            <w:r>
              <w:rPr/>
              <w:t>Treasury Regulations</w:t>
            </w:r>
          </w:p>
        </w:tc>
        <w:tc>
          <w:tcPr>
            <w:tcW w:w="1805" w:type="dxa"/>
            <w:tcBorders/>
            <w:vAlign w:val="center"/>
          </w:tcPr>
          <w:p>
            <w:pPr>
              <w:pStyle w:val="TableContents"/>
              <w:bidi w:val="0"/>
              <w:spacing w:before="0" w:after="0"/>
              <w:jc w:val="right"/>
              <w:rPr/>
            </w:pPr>
            <w:r>
              <w:rPr/>
              <w:t>Section 2.7</w:t>
            </w:r>
          </w:p>
        </w:tc>
      </w:tr>
      <w:tr>
        <w:trPr/>
        <w:tc>
          <w:tcPr>
            <w:tcW w:w="4085" w:type="dxa"/>
            <w:tcBorders/>
            <w:vAlign w:val="center"/>
          </w:tcPr>
          <w:p>
            <w:pPr>
              <w:pStyle w:val="TableContents"/>
              <w:bidi w:val="0"/>
              <w:spacing w:before="0" w:after="0"/>
              <w:jc w:val="left"/>
              <w:rPr/>
            </w:pPr>
            <w:r>
              <w:rPr/>
              <w:t>UK Bribery Act</w:t>
            </w:r>
          </w:p>
        </w:tc>
        <w:tc>
          <w:tcPr>
            <w:tcW w:w="1805" w:type="dxa"/>
            <w:tcBorders/>
            <w:vAlign w:val="center"/>
          </w:tcPr>
          <w:p>
            <w:pPr>
              <w:pStyle w:val="TableContents"/>
              <w:bidi w:val="0"/>
              <w:spacing w:before="0" w:after="0"/>
              <w:jc w:val="right"/>
              <w:rPr/>
            </w:pPr>
            <w:r>
              <w:rPr/>
              <w:t>Section 3.19(n)</w:t>
            </w:r>
          </w:p>
        </w:tc>
      </w:tr>
      <w:tr>
        <w:trPr/>
        <w:tc>
          <w:tcPr>
            <w:tcW w:w="4085" w:type="dxa"/>
            <w:tcBorders/>
            <w:vAlign w:val="center"/>
          </w:tcPr>
          <w:p>
            <w:pPr>
              <w:pStyle w:val="TableContents"/>
              <w:bidi w:val="0"/>
              <w:spacing w:before="0" w:after="0"/>
              <w:jc w:val="both"/>
              <w:rPr/>
            </w:pPr>
            <w:r>
              <w:rPr/>
              <w:t>WARN</w:t>
            </w:r>
          </w:p>
        </w:tc>
        <w:tc>
          <w:tcPr>
            <w:tcW w:w="1805" w:type="dxa"/>
            <w:tcBorders/>
            <w:vAlign w:val="center"/>
          </w:tcPr>
          <w:p>
            <w:pPr>
              <w:pStyle w:val="TableContents"/>
              <w:bidi w:val="0"/>
              <w:spacing w:before="0" w:after="0"/>
              <w:jc w:val="right"/>
              <w:rPr/>
            </w:pPr>
            <w:r>
              <w:rPr/>
              <w:t>Section 3.18(b)</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8.5.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so that the Contemplated Transactions are fulfilled to the fullest extent possible.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8.6.     </w:t>
      </w:r>
      <w:r>
        <w:rPr>
          <w:rFonts w:ascii="Times New Roman" w:hAnsi="Times New Roman"/>
          <w:color w:val="000000"/>
          <w:sz w:val="20"/>
          <w:u w:val="single"/>
        </w:rPr>
        <w:t>Assignment</w:t>
      </w:r>
      <w:r>
        <w:rPr>
          <w:rFonts w:ascii="Times New Roman" w:hAnsi="Times New Roman"/>
          <w:color w:val="000000"/>
          <w:sz w:val="20"/>
        </w:rPr>
        <w:t xml:space="preserve">. Neither this Agreement nor any of the rights, interests or obligations under this Agreement shall be assigned, in whole or in part, by operation of law or otherwise by any of the parties without the prior written consent of the other parties and any purported assignment without such consent shall be void; </w:t>
      </w:r>
      <w:r>
        <w:rPr>
          <w:rFonts w:ascii="Times New Roman" w:hAnsi="Times New Roman"/>
          <w:color w:val="000000"/>
          <w:sz w:val="20"/>
          <w:u w:val="single"/>
        </w:rPr>
        <w:t>provided</w:t>
      </w:r>
      <w:r>
        <w:rPr>
          <w:rFonts w:ascii="Times New Roman" w:hAnsi="Times New Roman"/>
          <w:color w:val="000000"/>
          <w:sz w:val="20"/>
        </w:rPr>
        <w:t xml:space="preserve"> that (a) Merger Sub may assign, in its sole discretion, any of or all its rights, interests and obligations under this Agreement to Parent or to any direct or indirect wholly-owned subsidiary of Parent, but no such assignment shall relieve Merger Sub of any of its obligations under this Agreement; and (b) Parent may assign, in its sole discretion, any of or all its rights, interests and obligations under this Agreement to any of its direct or indirect wholly-owned subsidiaries, but no such assignment shall relieve Parent of any of its obligations under this Agreement; </w:t>
      </w:r>
      <w:r>
        <w:rPr>
          <w:rFonts w:ascii="Times New Roman" w:hAnsi="Times New Roman"/>
          <w:color w:val="000000"/>
          <w:sz w:val="20"/>
          <w:u w:val="single"/>
        </w:rPr>
        <w:t>provided</w:t>
      </w:r>
      <w:r>
        <w:rPr>
          <w:rFonts w:ascii="Times New Roman" w:hAnsi="Times New Roman"/>
          <w:color w:val="000000"/>
          <w:sz w:val="20"/>
        </w:rPr>
        <w:t xml:space="preserve">, that any such assignment pursuant to the foregoing </w:t>
      </w:r>
      <w:r>
        <w:rPr>
          <w:rFonts w:ascii="Times New Roman" w:hAnsi="Times New Roman"/>
          <w:color w:val="000000"/>
          <w:sz w:val="20"/>
          <w:u w:val="single"/>
        </w:rPr>
        <w:t>clause (a)</w:t>
      </w:r>
      <w:r>
        <w:rPr>
          <w:rFonts w:ascii="Times New Roman" w:hAnsi="Times New Roman"/>
          <w:color w:val="000000"/>
          <w:sz w:val="20"/>
        </w:rPr>
        <w:t xml:space="preserve"> or </w:t>
      </w:r>
      <w:r>
        <w:rPr>
          <w:rFonts w:ascii="Times New Roman" w:hAnsi="Times New Roman"/>
          <w:color w:val="000000"/>
          <w:sz w:val="20"/>
          <w:u w:val="single"/>
        </w:rPr>
        <w:t>clause (b)</w:t>
      </w:r>
      <w:r>
        <w:rPr>
          <w:rFonts w:ascii="Times New Roman" w:hAnsi="Times New Roman"/>
          <w:color w:val="000000"/>
          <w:sz w:val="20"/>
        </w:rPr>
        <w:t xml:space="preserve"> shall not materially impede or delay the consummation of the Contemplated Transactions or otherwise materially impede the rights of the stockholders of the Company under this Agreement. Subject to the preceding sentences, this Agreement will be binding upon, inure to the benefit of, and be enforceable by the parties and their respective permitted successors and assigns.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8.7.      </w:t>
      </w:r>
      <w:r>
        <w:rPr>
          <w:rFonts w:ascii="Times New Roman" w:hAnsi="Times New Roman"/>
          <w:color w:val="000000"/>
          <w:sz w:val="20"/>
          <w:u w:val="single"/>
        </w:rPr>
        <w:t>Entire Agreement; Third-Party Beneficiaries</w:t>
      </w:r>
      <w:r>
        <w:rPr>
          <w:rFonts w:ascii="Times New Roman" w:hAnsi="Times New Roman"/>
          <w:color w:val="000000"/>
          <w:sz w:val="20"/>
        </w:rPr>
        <w:t xml:space="preserve">. This Agreement (together with the Company Disclosure Letter and the exhibits, annexes, and instruments referred to herein) constitute the entire agreement and supersedes all prior agreements and understandings, both written and oral, among the parties with respect to the subject matter 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Confidentiality Agreement will survive the execution or termination of this Agreement and remains in full force and effect until the expiration thereunder; </w:t>
      </w:r>
      <w:r>
        <w:rPr>
          <w:rFonts w:ascii="Times New Roman" w:hAnsi="Times New Roman"/>
          <w:color w:val="000000"/>
          <w:sz w:val="20"/>
          <w:u w:val="single"/>
        </w:rPr>
        <w:t>provided</w:t>
      </w:r>
      <w:r>
        <w:rPr>
          <w:rFonts w:ascii="Times New Roman" w:hAnsi="Times New Roman"/>
          <w:i/>
          <w:color w:val="000000"/>
          <w:sz w:val="20"/>
        </w:rPr>
        <w:t>,</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i/>
          <w:color w:val="000000"/>
          <w:sz w:val="20"/>
        </w:rPr>
        <w:t>,</w:t>
      </w:r>
      <w:r>
        <w:rPr>
          <w:rFonts w:ascii="Times New Roman" w:hAnsi="Times New Roman"/>
          <w:color w:val="000000"/>
          <w:sz w:val="20"/>
        </w:rPr>
        <w:t xml:space="preserve"> that, if the Effective Time occurs, the Confidentiality Agreement shall automatically terminate and be of no further force and effect. Except for (a) the rights of the holders of Shares to receive the Merger Consideration, the holders of Company Stock Options and Company RSUs to receive the consideration described in </w:t>
      </w:r>
      <w:r>
        <w:rPr>
          <w:rFonts w:ascii="Times New Roman" w:hAnsi="Times New Roman"/>
          <w:color w:val="000000"/>
          <w:sz w:val="20"/>
          <w:u w:val="single"/>
        </w:rPr>
        <w:t>Section 2.2</w:t>
      </w:r>
      <w:r>
        <w:rPr>
          <w:rFonts w:ascii="Times New Roman" w:hAnsi="Times New Roman"/>
          <w:color w:val="000000"/>
          <w:sz w:val="20"/>
        </w:rPr>
        <w:t xml:space="preserve">, and the holders of Pre-Funded Warrants to receive the consideration described in </w:t>
      </w:r>
      <w:r>
        <w:rPr>
          <w:rFonts w:ascii="Times New Roman" w:hAnsi="Times New Roman"/>
          <w:color w:val="000000"/>
          <w:sz w:val="20"/>
          <w:u w:val="single"/>
        </w:rPr>
        <w:t>Section 2.3</w:t>
      </w:r>
      <w:r>
        <w:rPr>
          <w:rFonts w:ascii="Times New Roman" w:hAnsi="Times New Roman"/>
          <w:color w:val="000000"/>
          <w:sz w:val="20"/>
        </w:rPr>
        <w:t xml:space="preserve">, (b) the right of the Company, on behalf of the holders of Shares and the holders of Company Stock Options, Company RSUs and Pre-Funded Warrants (each of which are third party beneficiaries hereunder only to the extent required for this </w:t>
      </w:r>
      <w:r>
        <w:rPr>
          <w:rFonts w:ascii="Times New Roman" w:hAnsi="Times New Roman"/>
          <w:color w:val="000000"/>
          <w:sz w:val="20"/>
          <w:u w:val="single"/>
        </w:rPr>
        <w:t>clause (b)</w:t>
      </w:r>
      <w:r>
        <w:rPr>
          <w:rFonts w:ascii="Times New Roman" w:hAnsi="Times New Roman"/>
          <w:color w:val="000000"/>
          <w:sz w:val="20"/>
        </w:rPr>
        <w:t xml:space="preserve"> to be enforceable), to pursue specific performance as set forth in </w:t>
      </w:r>
      <w:r>
        <w:rPr>
          <w:rFonts w:ascii="Times New Roman" w:hAnsi="Times New Roman"/>
          <w:color w:val="000000"/>
          <w:sz w:val="20"/>
          <w:u w:val="single"/>
        </w:rPr>
        <w:t>Section 8.16</w:t>
      </w:r>
      <w:r>
        <w:rPr>
          <w:rFonts w:ascii="Times New Roman" w:hAnsi="Times New Roman"/>
          <w:color w:val="000000"/>
          <w:sz w:val="20"/>
        </w:rPr>
        <w:t xml:space="preserve"> or, if specific performance is not sought or granted as a remedy, damages (which damages the parties agree may, if ordered by a court of competent jurisdiction, be based upon a decrease in share value or lost premium) in the event of Parent’s or Merger Sub’s breach of this Agreement, and (c) as provided in </w:t>
      </w:r>
      <w:r>
        <w:rPr>
          <w:rFonts w:ascii="Times New Roman" w:hAnsi="Times New Roman"/>
          <w:color w:val="000000"/>
          <w:sz w:val="20"/>
          <w:u w:val="single"/>
        </w:rPr>
        <w:t>Section 5.6</w:t>
      </w:r>
      <w:r>
        <w:rPr>
          <w:rFonts w:ascii="Times New Roman" w:hAnsi="Times New Roman"/>
          <w:color w:val="000000"/>
          <w:sz w:val="20"/>
        </w:rPr>
        <w:t xml:space="preserve"> (which is intended for the benefit of each Indemnified Party, all of whom will be third-party beneficiaries of these provisions), this Agreement is not intended to confer upon any Person other than the parties hereto any rights or remedies.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8.8.         </w:t>
      </w:r>
      <w:r>
        <w:rPr>
          <w:rFonts w:ascii="Times New Roman" w:hAnsi="Times New Roman"/>
          <w:color w:val="000000"/>
          <w:sz w:val="20"/>
          <w:u w:val="single"/>
        </w:rPr>
        <w:t>Governing Law</w:t>
      </w:r>
      <w:r>
        <w:rPr>
          <w:rFonts w:ascii="Times New Roman" w:hAnsi="Times New Roman"/>
          <w:color w:val="000000"/>
          <w:sz w:val="20"/>
        </w:rPr>
        <w:t>. This Agreement will be governed by, and construed in accordance with, the Laws of the State of Delaware, regardless of the Laws that might otherwise govern under applicable principles of conflicts of laws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8.9.       </w:t>
      </w:r>
      <w:r>
        <w:rPr>
          <w:rFonts w:ascii="Times New Roman" w:hAnsi="Times New Roman"/>
          <w:color w:val="000000"/>
          <w:sz w:val="20"/>
          <w:u w:val="single"/>
        </w:rPr>
        <w:t>Headings</w:t>
      </w:r>
      <w:r>
        <w:rPr>
          <w:rFonts w:ascii="Times New Roman" w:hAnsi="Times New Roman"/>
          <w:color w:val="000000"/>
          <w:sz w:val="20"/>
        </w:rPr>
        <w:t>. The descriptive headings contained in this Agreement are included for convenience of reference only and will not affect in any way the meaning or interpretation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8.10.       </w:t>
      </w:r>
      <w:r>
        <w:rPr>
          <w:rFonts w:ascii="Times New Roman" w:hAnsi="Times New Roman"/>
          <w:color w:val="000000"/>
          <w:sz w:val="20"/>
          <w:u w:val="single"/>
        </w:rPr>
        <w:t>Counterparts</w:t>
      </w:r>
      <w:r>
        <w:rPr>
          <w:rFonts w:ascii="Times New Roman" w:hAnsi="Times New Roman"/>
          <w:color w:val="000000"/>
          <w:sz w:val="20"/>
        </w:rPr>
        <w:t>. This Agreement may be executed and delivered (including by executed signatures in electronic format (including “pdf”) and other electronic signatures (including DocuSign and AdobeSign) in each case transmitted by email) in two (2) or more counterparts, and by the different parties hereto in separate counterparts, each of which when executed will be deemed to be an original but all of which taken together will constitute one and the same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8.11.       </w:t>
      </w:r>
      <w:r>
        <w:rPr>
          <w:rFonts w:ascii="Times New Roman" w:hAnsi="Times New Roman"/>
          <w:color w:val="000000"/>
          <w:sz w:val="20"/>
          <w:u w:val="single"/>
        </w:rPr>
        <w:t>Performance Guaranty</w:t>
      </w:r>
      <w:r>
        <w:rPr>
          <w:rFonts w:ascii="Times New Roman" w:hAnsi="Times New Roman"/>
          <w:color w:val="000000"/>
          <w:sz w:val="20"/>
        </w:rPr>
        <w:t>. Parent hereby guarantees the due, prompt and faithful performance and discharge by, and compliance with, all of the obligations, covenants, terms, conditions and undertakings of Merger Sub under this Agreement in accordance with the terms hereof, including any such obligations, covenants, terms, conditions and undertakings that are required to be performed, discharged, or complied with following the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8.12.       </w:t>
      </w:r>
      <w:r>
        <w:rPr>
          <w:rFonts w:ascii="Times New Roman" w:hAnsi="Times New Roman"/>
          <w:color w:val="000000"/>
          <w:sz w:val="20"/>
          <w:u w:val="single"/>
        </w:rPr>
        <w:t>Jurisdiction; Waiver of Jury Trial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Each of the parties hereto hereby (i) expressly and irrevocably submits to the exclusive personal jurisdiction of the Court of Chancery of the State of Delaware or if such Court of Chancery lacks subject matter jurisdiction, the United States District Court for the District of Delaware, in the event any dispute arises out of this Agreement, the Merger, or the Contemplated Transactions, (ii) agrees that it shall not attempt to deny or defeat such personal jurisdiction by motion or other request for leave from any such court and (iii) agrees that it shall not bring any action relating to this Agreement, the Merger, or the Contemplated Transactions in any court other than the Court of Chancery of the State of Delaware or if such Court of Chancery lacks subject matter jurisdiction, the United States District Court for the District of Delaware; </w:t>
      </w:r>
      <w:r>
        <w:rPr>
          <w:rFonts w:ascii="Times New Roman" w:hAnsi="Times New Roman"/>
          <w:color w:val="000000"/>
          <w:sz w:val="20"/>
          <w:u w:val="single"/>
        </w:rPr>
        <w:t>provided</w:t>
      </w:r>
      <w:r>
        <w:rPr>
          <w:rFonts w:ascii="Times New Roman" w:hAnsi="Times New Roman"/>
          <w:color w:val="000000"/>
          <w:sz w:val="20"/>
        </w:rPr>
        <w:t xml:space="preserve"> that each of the parties has the right to bring any action or proceeding for enforcement of a judgment entered by such court in any other court or jurisdiction.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EACH PARTY HERETO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8.13.      </w:t>
      </w:r>
      <w:r>
        <w:rPr>
          <w:rFonts w:ascii="Times New Roman" w:hAnsi="Times New Roman"/>
          <w:color w:val="000000"/>
          <w:sz w:val="20"/>
          <w:u w:val="single"/>
        </w:rPr>
        <w:t>Service of Process</w:t>
      </w:r>
      <w:r>
        <w:rPr>
          <w:rFonts w:ascii="Times New Roman" w:hAnsi="Times New Roman"/>
          <w:color w:val="000000"/>
          <w:sz w:val="20"/>
        </w:rPr>
        <w:t xml:space="preserve">. Each party irrevocably consents to the service of process outside the territorial jurisdiction of the courts referred to in </w:t>
      </w:r>
      <w:r>
        <w:rPr>
          <w:rFonts w:ascii="Times New Roman" w:hAnsi="Times New Roman"/>
          <w:color w:val="000000"/>
          <w:sz w:val="20"/>
          <w:u w:val="single"/>
        </w:rPr>
        <w:t>Section 8.12(a)</w:t>
      </w:r>
      <w:r>
        <w:rPr>
          <w:rFonts w:ascii="Times New Roman" w:hAnsi="Times New Roman"/>
          <w:color w:val="000000"/>
          <w:sz w:val="20"/>
        </w:rPr>
        <w:t xml:space="preserve"> in any such action or proceeding by mailing copies thereof by registered United States mail, postage prepaid, return receipt requested, to its address as specified in or pursuant to </w:t>
      </w:r>
      <w:r>
        <w:rPr>
          <w:rFonts w:ascii="Times New Roman" w:hAnsi="Times New Roman"/>
          <w:color w:val="000000"/>
          <w:sz w:val="20"/>
          <w:u w:val="single"/>
        </w:rPr>
        <w:t>Section 8.2</w:t>
      </w:r>
      <w:r>
        <w:rPr>
          <w:rFonts w:ascii="Times New Roman" w:hAnsi="Times New Roman"/>
          <w:color w:val="000000"/>
          <w:sz w:val="20"/>
        </w:rPr>
        <w:t>. However, the foregoing will not limit the right of a party to effect service of process on the other party by any other legally available method.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8.14.      </w:t>
      </w:r>
      <w:r>
        <w:rPr>
          <w:rFonts w:ascii="Times New Roman" w:hAnsi="Times New Roman"/>
          <w:color w:val="000000"/>
          <w:sz w:val="20"/>
          <w:u w:val="single"/>
        </w:rPr>
        <w:t>Remedies</w:t>
      </w:r>
      <w:r>
        <w:rPr>
          <w:rFonts w:ascii="Times New Roman" w:hAnsi="Times New Roman"/>
          <w:color w:val="000000"/>
          <w:sz w:val="20"/>
        </w:rPr>
        <w:t>. Except as otherwise provided in this Agreement, the rights and remedies provided in this Agreement shall be cumulative and not exclusive of any rights or remedies provided by applicable Law, and the exercise by a party of any one remedy will not preclude the exercise of any other remedy.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8.15.     </w:t>
      </w:r>
      <w:r>
        <w:rPr>
          <w:rFonts w:ascii="Times New Roman" w:hAnsi="Times New Roman"/>
          <w:color w:val="000000"/>
          <w:sz w:val="20"/>
          <w:u w:val="single"/>
        </w:rPr>
        <w:t>Cooperation</w:t>
      </w:r>
      <w:r>
        <w:rPr>
          <w:rFonts w:ascii="Times New Roman" w:hAnsi="Times New Roman"/>
          <w:color w:val="000000"/>
          <w:sz w:val="20"/>
        </w:rPr>
        <w:t>. Except from and after a Change of Board Recommendation, or as any such actions may be limited by the express terms hereof, the parties agree to provide reasonable cooperation with each other and to execute and deliver such further documents, certificates, agreements and instruments and to take such actions as may be reasonably requested by the other parties to evidence or effect the Contemplated Transactions and to carry out the intent and purposes of this Agreement (including providing Parent with information reasonably requested to support calculations under Section 280G of the Code).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8.16.        </w:t>
      </w:r>
      <w:r>
        <w:rPr>
          <w:rFonts w:ascii="Times New Roman" w:hAnsi="Times New Roman"/>
          <w:color w:val="000000"/>
          <w:sz w:val="20"/>
          <w:u w:val="single"/>
        </w:rPr>
        <w:t>Specific Performance.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parties hereto acknowledge and agree that, in the event of any breach of this Agreement, irreparable harm would occur that monetary damages could not make whole. It is accordingly agreed that (i) each party hereto will be entitled, in addition to any other remedy to which it may be entitled at law or in equity, to compel specific performance to prevent or restrain breaches or threatened breaches of this Agreement in any action without the posting of a bond or undertaking and (ii) the parties hereto will, and hereby do, waive, in any action for specific performance, the defense of adequacy of a remedy at law and any other objections to specific performance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Notwithstanding the parties’ rights to specific performance pursuant to </w:t>
      </w:r>
      <w:r>
        <w:rPr>
          <w:rFonts w:ascii="Times New Roman" w:hAnsi="Times New Roman"/>
          <w:color w:val="000000"/>
          <w:sz w:val="20"/>
          <w:u w:val="single"/>
        </w:rPr>
        <w:t>Section 8.16(a)</w:t>
      </w:r>
      <w:r>
        <w:rPr>
          <w:rFonts w:ascii="Times New Roman" w:hAnsi="Times New Roman"/>
          <w:color w:val="000000"/>
          <w:sz w:val="20"/>
        </w:rPr>
        <w:t xml:space="preserve">, subject to </w:t>
      </w:r>
      <w:r>
        <w:rPr>
          <w:rFonts w:ascii="Times New Roman" w:hAnsi="Times New Roman"/>
          <w:color w:val="000000"/>
          <w:sz w:val="20"/>
          <w:u w:val="single"/>
        </w:rPr>
        <w:t>Section 7.5(c),</w:t>
      </w:r>
      <w:r>
        <w:rPr>
          <w:rFonts w:ascii="Times New Roman" w:hAnsi="Times New Roman"/>
          <w:color w:val="000000"/>
          <w:sz w:val="20"/>
        </w:rPr>
        <w:t xml:space="preserve"> each party may pursue any other remedy available to it at law or in equity, including monetary damages.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8.17.     </w:t>
      </w:r>
      <w:r>
        <w:rPr>
          <w:rFonts w:ascii="Times New Roman" w:hAnsi="Times New Roman"/>
          <w:color w:val="000000"/>
          <w:sz w:val="20"/>
          <w:u w:val="single"/>
        </w:rPr>
        <w:t>Interpretation</w:t>
      </w:r>
      <w:r>
        <w:rPr>
          <w:rFonts w:ascii="Times New Roman" w:hAnsi="Times New Roman"/>
          <w:color w:val="000000"/>
          <w:sz w:val="20"/>
        </w:rPr>
        <w:t>. When reference is made in this Agreement to an Article, Section or Exhibit, such reference will refer to Articles and Sections of, and Exhibits to, this Agreement unless otherwise indicated. The word “extent” in the phrase “to the extent” shall mean the degree to which a subject or other thing extends, and such phrase shall not mean simply “if.” All references to “dollars” or “$” shall refer to the lawful currency of the United States.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The word “will” shall be construed to have the same meaning and effect as the word “shall.” Whenever used in this Agreement, any noun or pronoun will be deemed to include the plural as well as the singular and to cover all genders. Any reference to any Person shall be construed to include such Person’s successors and assigns. The words “made available” and words of similar import refer to documents posted to the virtual data room hosted by Ideals titled “AtaiBeckley VDR,” or otherwise delivered via e-mail by or on behalf of the Company to Parent or Merger Sub, in each case, as of 11:59 p.m., Eastern Time, on July 14, 2026. The words “ordinary course of business” shall mean the ordinary course of business consistent with past practice.  This Agreement will be construed without regard to any presumption or rule requiring construction or interpretation against the party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of burden of proof shall arise favoring or disfavoring any party by virtue of the authorship of this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Left Blank Intentionally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Parent, Merger Sub and the Company has caused this Agreement to be executed as of the date first written above by their respective officers thereunto duly authorized.</w:t>
      </w:r>
    </w:p>
    <w:p>
      <w:pPr>
        <w:pStyle w:val="TextBody"/>
        <w:bidi w:val="0"/>
        <w:spacing w:before="0" w:after="0"/>
        <w:jc w:val="left"/>
        <w:rPr>
          <w:color w:val="000000"/>
        </w:rPr>
      </w:pPr>
      <w:r>
        <w:rPr>
          <w:color w:val="000000"/>
        </w:rPr>
        <w:t> </w:t>
      </w:r>
    </w:p>
    <w:tbl>
      <w:tblPr>
        <w:tblW w:w="6430" w:type="dxa"/>
        <w:jc w:val="left"/>
        <w:tblInd w:w="0" w:type="dxa"/>
        <w:tblLayout w:type="fixed"/>
        <w:tblCellMar>
          <w:top w:w="0" w:type="dxa"/>
          <w:left w:w="0" w:type="dxa"/>
          <w:bottom w:w="0" w:type="dxa"/>
          <w:right w:w="0" w:type="dxa"/>
        </w:tblCellMar>
      </w:tblPr>
      <w:tblGrid>
        <w:gridCol w:w="60"/>
        <w:gridCol w:w="650"/>
        <w:gridCol w:w="5660"/>
        <w:gridCol w:w="60"/>
      </w:tblGrid>
      <w:tr>
        <w:trPr/>
        <w:tc>
          <w:tcPr>
            <w:tcW w:w="60" w:type="dxa"/>
            <w:tcBorders/>
            <w:vAlign w:val="center"/>
          </w:tcPr>
          <w:p>
            <w:pPr>
              <w:pStyle w:val="TableContents"/>
              <w:bidi w:val="0"/>
              <w:spacing w:before="0" w:after="283"/>
              <w:jc w:val="left"/>
              <w:rPr/>
            </w:pPr>
            <w:r>
              <w:rPr/>
              <w:t> </w:t>
            </w:r>
          </w:p>
        </w:tc>
        <w:tc>
          <w:tcPr>
            <w:tcW w:w="6310" w:type="dxa"/>
            <w:gridSpan w:val="2"/>
            <w:tcBorders/>
            <w:vAlign w:val="center"/>
          </w:tcPr>
          <w:p>
            <w:pPr>
              <w:pStyle w:val="TableContents"/>
              <w:bidi w:val="0"/>
              <w:spacing w:before="0" w:after="0"/>
              <w:jc w:val="both"/>
              <w:rPr>
                <w:b/>
              </w:rPr>
            </w:pPr>
            <w:r>
              <w:rPr>
                <w:b/>
              </w:rPr>
              <w:t>ELI LILLY AND COMPANY</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3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5660" w:type="dxa"/>
            <w:tcBorders>
              <w:bottom w:val="single" w:sz="12" w:space="0" w:color="000000"/>
            </w:tcBorders>
            <w:tcMar>
              <w:bottom w:w="28" w:type="dxa"/>
            </w:tcMar>
            <w:vAlign w:val="center"/>
          </w:tcPr>
          <w:p>
            <w:pPr>
              <w:pStyle w:val="TableContents"/>
              <w:bidi w:val="0"/>
              <w:spacing w:before="0" w:after="0"/>
              <w:jc w:val="left"/>
              <w:rPr/>
            </w:pPr>
            <w:r>
              <w:rPr/>
              <w:t>/s/ Carole Ho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5660" w:type="dxa"/>
            <w:tcBorders>
              <w:bottom w:val="single" w:sz="12" w:space="0" w:color="000000"/>
            </w:tcBorders>
            <w:tcMar>
              <w:bottom w:w="28" w:type="dxa"/>
            </w:tcMar>
            <w:vAlign w:val="center"/>
          </w:tcPr>
          <w:p>
            <w:pPr>
              <w:pStyle w:val="TableContents"/>
              <w:bidi w:val="0"/>
              <w:spacing w:before="0" w:after="283"/>
              <w:jc w:val="left"/>
              <w:rPr/>
            </w:pPr>
            <w:r>
              <w:rPr/>
              <w:t>Carole Ho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5660" w:type="dxa"/>
            <w:tcBorders>
              <w:bottom w:val="single" w:sz="12" w:space="0" w:color="000000"/>
            </w:tcBorders>
            <w:tcMar>
              <w:bottom w:w="28" w:type="dxa"/>
            </w:tcMar>
            <w:vAlign w:val="center"/>
          </w:tcPr>
          <w:p>
            <w:pPr>
              <w:pStyle w:val="TableContents"/>
              <w:bidi w:val="0"/>
              <w:spacing w:before="0" w:after="0"/>
              <w:jc w:val="left"/>
              <w:rPr/>
            </w:pPr>
            <w:r>
              <w:rPr/>
              <w:t>Executive Vice President and President, Lilly Neuroscience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Parent, Merger Sub and the Company has caused this Agreement to be executed as of the date first written above by their respective officers thereunto duly authorized.</w:t>
      </w:r>
    </w:p>
    <w:p>
      <w:pPr>
        <w:pStyle w:val="TextBody"/>
        <w:bidi w:val="0"/>
        <w:spacing w:before="0" w:after="0"/>
        <w:jc w:val="left"/>
        <w:rPr>
          <w:color w:val="000000"/>
        </w:rPr>
      </w:pPr>
      <w:r>
        <w:rPr>
          <w:color w:val="000000"/>
        </w:rPr>
        <w:t> </w:t>
      </w:r>
    </w:p>
    <w:tbl>
      <w:tblPr>
        <w:tblW w:w="4729" w:type="dxa"/>
        <w:jc w:val="left"/>
        <w:tblInd w:w="0" w:type="dxa"/>
        <w:tblLayout w:type="fixed"/>
        <w:tblCellMar>
          <w:top w:w="0" w:type="dxa"/>
          <w:left w:w="0" w:type="dxa"/>
          <w:bottom w:w="0" w:type="dxa"/>
          <w:right w:w="0" w:type="dxa"/>
        </w:tblCellMar>
      </w:tblPr>
      <w:tblGrid>
        <w:gridCol w:w="75"/>
        <w:gridCol w:w="1123"/>
        <w:gridCol w:w="3456"/>
        <w:gridCol w:w="75"/>
      </w:tblGrid>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0"/>
              <w:jc w:val="both"/>
              <w:rPr>
                <w:b/>
              </w:rPr>
            </w:pPr>
            <w:r>
              <w:rPr>
                <w:b/>
              </w:rPr>
              <w:t>ALBALI ACQUISITION CORPORATION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0"/>
              <w:jc w:val="left"/>
              <w:rPr/>
            </w:pPr>
            <w:r>
              <w:rPr/>
              <w:t>By:</w:t>
            </w:r>
          </w:p>
        </w:tc>
        <w:tc>
          <w:tcPr>
            <w:tcW w:w="3456" w:type="dxa"/>
            <w:tcBorders>
              <w:bottom w:val="single" w:sz="12" w:space="0" w:color="000000"/>
            </w:tcBorders>
            <w:tcMar>
              <w:bottom w:w="28" w:type="dxa"/>
            </w:tcMar>
            <w:vAlign w:val="center"/>
          </w:tcPr>
          <w:p>
            <w:pPr>
              <w:pStyle w:val="TableContents"/>
              <w:bidi w:val="0"/>
              <w:spacing w:before="0" w:after="0"/>
              <w:jc w:val="left"/>
              <w:rPr/>
            </w:pPr>
            <w:r>
              <w:rPr/>
              <w:t>/s/ Jonathan R. Haug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0"/>
              <w:jc w:val="left"/>
              <w:rPr/>
            </w:pPr>
            <w:r>
              <w:rPr/>
              <w:t>Name:</w:t>
            </w:r>
          </w:p>
        </w:tc>
        <w:tc>
          <w:tcPr>
            <w:tcW w:w="3456" w:type="dxa"/>
            <w:tcBorders>
              <w:bottom w:val="single" w:sz="12" w:space="0" w:color="000000"/>
            </w:tcBorders>
            <w:tcMar>
              <w:bottom w:w="28" w:type="dxa"/>
            </w:tcMar>
            <w:vAlign w:val="center"/>
          </w:tcPr>
          <w:p>
            <w:pPr>
              <w:pStyle w:val="TableContents"/>
              <w:bidi w:val="0"/>
              <w:spacing w:before="0" w:after="283"/>
              <w:jc w:val="left"/>
              <w:rPr/>
            </w:pPr>
            <w:r>
              <w:rPr/>
              <w:t>Jonathan R. Haug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0"/>
              <w:jc w:val="left"/>
              <w:rPr/>
            </w:pPr>
            <w:r>
              <w:rPr/>
              <w:t>Title:</w:t>
            </w:r>
          </w:p>
        </w:tc>
        <w:tc>
          <w:tcPr>
            <w:tcW w:w="3456" w:type="dxa"/>
            <w:tcBorders>
              <w:bottom w:val="single" w:sz="12" w:space="0" w:color="000000"/>
            </w:tcBorders>
            <w:tcMar>
              <w:bottom w:w="28" w:type="dxa"/>
            </w:tcMar>
            <w:vAlign w:val="center"/>
          </w:tcPr>
          <w:p>
            <w:pPr>
              <w:pStyle w:val="TableContents"/>
              <w:bidi w:val="0"/>
              <w:spacing w:before="0" w:after="0"/>
              <w:jc w:val="left"/>
              <w:rPr/>
            </w:pPr>
            <w:r>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Parent, Merger Sub and the Company has caused this Agreement to be executed as of the date first written above by their respective officers thereunto duly authorized.</w:t>
      </w:r>
    </w:p>
    <w:p>
      <w:pPr>
        <w:pStyle w:val="TextBody"/>
        <w:bidi w:val="0"/>
        <w:spacing w:before="0" w:after="0"/>
        <w:jc w:val="left"/>
        <w:rPr>
          <w:color w:val="000000"/>
        </w:rPr>
      </w:pPr>
      <w:r>
        <w:rPr>
          <w:color w:val="000000"/>
        </w:rPr>
        <w:t> </w:t>
      </w:r>
    </w:p>
    <w:tbl>
      <w:tblPr>
        <w:tblW w:w="3085" w:type="dxa"/>
        <w:jc w:val="left"/>
        <w:tblInd w:w="0" w:type="dxa"/>
        <w:tblLayout w:type="fixed"/>
        <w:tblCellMar>
          <w:top w:w="0" w:type="dxa"/>
          <w:left w:w="0" w:type="dxa"/>
          <w:bottom w:w="0" w:type="dxa"/>
          <w:right w:w="0" w:type="dxa"/>
        </w:tblCellMar>
      </w:tblPr>
      <w:tblGrid>
        <w:gridCol w:w="75"/>
        <w:gridCol w:w="650"/>
        <w:gridCol w:w="2285"/>
        <w:gridCol w:w="75"/>
      </w:tblGrid>
      <w:tr>
        <w:trPr/>
        <w:tc>
          <w:tcPr>
            <w:tcW w:w="75"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0"/>
              <w:jc w:val="both"/>
              <w:rPr>
                <w:b/>
                <w:color w:val="000000"/>
              </w:rPr>
            </w:pPr>
            <w:r>
              <w:rPr>
                <w:b/>
                <w:color w:val="000000"/>
              </w:rPr>
              <w:t>ATAIBECKLEY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Srinivas Rao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2285" w:type="dxa"/>
            <w:tcBorders>
              <w:bottom w:val="single" w:sz="12" w:space="0" w:color="000000"/>
            </w:tcBorders>
            <w:tcMar>
              <w:bottom w:w="28" w:type="dxa"/>
            </w:tcMar>
            <w:vAlign w:val="center"/>
          </w:tcPr>
          <w:p>
            <w:pPr>
              <w:pStyle w:val="TableContents"/>
              <w:bidi w:val="0"/>
              <w:spacing w:before="0" w:after="0"/>
              <w:jc w:val="left"/>
              <w:rPr/>
            </w:pPr>
            <w:r>
              <w:rPr/>
              <w:t>Srinivas Rao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2285" w:type="dxa"/>
            <w:tcBorders>
              <w:bottom w:val="single" w:sz="12" w:space="0" w:color="000000"/>
            </w:tcBorders>
            <w:tcMar>
              <w:bottom w:w="28" w:type="dxa"/>
            </w:tcMar>
            <w:vAlign w:val="center"/>
          </w:tcPr>
          <w:p>
            <w:pPr>
              <w:pStyle w:val="TableContents"/>
              <w:bidi w:val="0"/>
              <w:spacing w:before="0" w:after="0"/>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Annex 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CERTIFICATE OF INCORPORATION OF THE SURVIVING CORPORATION</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Amended and Restated Certificate of Incorporation of AtaiBeckley Inc.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The name of this corporation is AtaiBeckley Inc. (the “</w:t>
      </w:r>
      <w:r>
        <w:rPr>
          <w:rFonts w:ascii="Times New Roman" w:hAnsi="Times New Roman"/>
          <w:color w:val="000000"/>
          <w:sz w:val="20"/>
          <w:u w:val="single"/>
        </w:rPr>
        <w:t>Corporation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The address of the Corporation’s registered office in the State of Delaware is 1209 Orange Street, Wilmington, New Castle County, Delaware 19801, and the name of the Corporation’s registered agent at such address is National Registered Agents, Inc.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The business address of the Corporation is Eli Lilly and Company Global Headquarters, Lilly Corporate Center, Indianapolis, Indiana 46285.</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4.          The nature of the business and the purposes to be conducted and promoted by the Corporation are to conduct any lawful business, to promote any lawful purpose and to engage in any lawful act or activity for which corporations may be organized under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as from time to time amended.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The total number of shares of stock which the Corporation shall have authority to issue is one hundred (100) shares of common stock, $0.0001 par value per share (the “</w:t>
      </w:r>
      <w:r>
        <w:rPr>
          <w:rFonts w:ascii="Times New Roman" w:hAnsi="Times New Roman"/>
          <w:color w:val="000000"/>
          <w:sz w:val="20"/>
          <w:u w:val="single"/>
        </w:rPr>
        <w:t>Common Stock</w:t>
      </w:r>
      <w:r>
        <w:rPr>
          <w:rFonts w:ascii="Times New Roman" w:hAnsi="Times New Roman"/>
          <w:color w:val="000000"/>
          <w:sz w:val="20"/>
        </w:rPr>
        <w:t>”). Shares of the Common Stock may be issued from time to time as the Board of Directors of the Corporation (the “</w:t>
      </w:r>
      <w:r>
        <w:rPr>
          <w:rFonts w:ascii="Times New Roman" w:hAnsi="Times New Roman"/>
          <w:color w:val="000000"/>
          <w:sz w:val="20"/>
          <w:u w:val="single"/>
        </w:rPr>
        <w:t>Board</w:t>
      </w:r>
      <w:r>
        <w:rPr>
          <w:rFonts w:ascii="Times New Roman" w:hAnsi="Times New Roman"/>
          <w:color w:val="000000"/>
          <w:sz w:val="20"/>
        </w:rPr>
        <w:t>”) shall determine and on such terms and for such consideration as shall be fixed by the Board. The amount of the authorized Common Stock of the Corporation may be increased or decreased by the affirmative vote of the holders of a majority of the outstanding shares of Common Stock of the Corporation entitled to vote.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          Except as otherwise provided by law, the Common Stock shall have the exclusive right to vote for the election of directors and for all other purposes. Each share of Common Stock shall have one vote, and the Common Stock shall vote together as a single class.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7.          Elections of directors need not be by written ballot unless required by the bylaws of the Corporation (the “</w:t>
      </w:r>
      <w:r>
        <w:rPr>
          <w:rFonts w:ascii="Times New Roman" w:hAnsi="Times New Roman"/>
          <w:color w:val="000000"/>
          <w:sz w:val="20"/>
          <w:u w:val="single"/>
        </w:rPr>
        <w:t>Bylaws</w:t>
      </w:r>
      <w:r>
        <w:rPr>
          <w:rFonts w:ascii="Times New Roman" w:hAnsi="Times New Roman"/>
          <w:color w:val="000000"/>
          <w:sz w:val="20"/>
        </w:rPr>
        <w:t>”).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DGCL Section 228.</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8.          In furtherance and not in limitation of the powers conferred upon the Board by law, the Board shall have the power to make, adopt, alter, amend and repeal from time to time the Bylaws by a majority vote at any regular or special meeting or by written consent, subject to the power of the stockholders to alter, amend and repeal the Bylaws made by the Board.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9, or the adoption of any provision of this Amended and Restated Certificate of Incorporation inconsistent with this Article 9, shall not adversely affect any right or protection of a director or officer of the Corporation with respect to any act or omission occurring prior to such amendment, repeal, modification or adoption. If the DGCL is amended after approval by the stockholders of this Article 9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pStyle w:val="TextBody"/>
        <w:bidi w:val="0"/>
        <w:spacing w:before="0" w:after="0"/>
        <w:jc w:val="both"/>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        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        The Board reserves the right to amend, alter, change or repeal any provision contained in this Amended and Restated Certificate of Incorporation, in the manner now or hereafter prescribed by statute, and all rights conferred upon stockholders herein are granted subject to this reservation.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remainder of this page is intentionally left blank.]</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Annex 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BYLAWS OF THE SURVIVING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AMENDED AND RESTATED BYLAWS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ATAIBECKLEY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STOCKHOLDERS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Annual Meetings</w:t>
      </w:r>
      <w:r>
        <w:rPr>
          <w:rFonts w:ascii="Times New Roman" w:hAnsi="Times New Roman"/>
          <w:color w:val="010000"/>
          <w:sz w:val="20"/>
        </w:rPr>
        <w:t>. The annual meeting of the stockholders of AtaiBeckley Inc. (the “</w:t>
      </w:r>
      <w:r>
        <w:rPr>
          <w:rFonts w:ascii="Times New Roman" w:hAnsi="Times New Roman"/>
          <w:color w:val="010000"/>
          <w:sz w:val="20"/>
          <w:u w:val="single"/>
        </w:rPr>
        <w:t>Corporation</w:t>
      </w:r>
      <w:r>
        <w:rPr>
          <w:rFonts w:ascii="Times New Roman" w:hAnsi="Times New Roman"/>
          <w:color w:val="010000"/>
          <w:sz w:val="20"/>
        </w:rPr>
        <w:t>”) for the election of directors and for the transaction of such other business as may properly come before the meeting shall be held each year at such date and time, within or without the State of Delaware, as the board of directors of the Corporation (the “</w:t>
      </w:r>
      <w:r>
        <w:rPr>
          <w:rFonts w:ascii="Times New Roman" w:hAnsi="Times New Roman"/>
          <w:color w:val="010000"/>
          <w:sz w:val="20"/>
          <w:u w:val="single"/>
        </w:rPr>
        <w:t>Board of Directors</w:t>
      </w:r>
      <w:r>
        <w:rPr>
          <w:rFonts w:ascii="Times New Roman" w:hAnsi="Times New Roman"/>
          <w:color w:val="010000"/>
          <w:sz w:val="20"/>
        </w:rPr>
        <w:t>”) shall determine.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Special Meetings</w:t>
      </w:r>
      <w:r>
        <w:rPr>
          <w:rFonts w:ascii="Times New Roman" w:hAnsi="Times New Roman"/>
          <w:color w:val="010000"/>
          <w:sz w:val="20"/>
        </w:rPr>
        <w:t>. Special meetings of stockholders for the transaction of such business as may properly come before the meeting may be called by order of the Board of Directors or by stockholders holding together at least a majority of all the shares of the Corporation entitled to vote at the meeting, and shall be held at such date and time, within or without the State of Delaware, as may be specified by such order. Whenever the directors shall fail to fix such place, the meeting shall be held at the principal executive office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Notice of Meetings</w:t>
      </w:r>
      <w:r>
        <w:rPr>
          <w:rFonts w:ascii="Times New Roman" w:hAnsi="Times New Roman"/>
          <w:color w:val="010000"/>
          <w:sz w:val="20"/>
        </w:rPr>
        <w:t>. Written notice of all meetings of the stockholders, stating the place, date and hour of the meeting, the means of remote communications, if any, by which stockholders and proxy holders may be deemed to be present in person and vote at such meeting, and the place within the city or other municipality or community at which the list of stockholders may be examined, shall be mailed or delivered to each stockholder entitled to vote at such meeting not less than ten (10) nor more than sixty (60) days prior to the meeting. Notice of any special meeting shall state in general terms the purpose or purposes for which the meeting is to be held.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Stockholder Lists</w:t>
      </w:r>
      <w:r>
        <w:rPr>
          <w:rFonts w:ascii="Times New Roman" w:hAnsi="Times New Roman"/>
          <w:color w:val="010000"/>
          <w:sz w:val="20"/>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and class of shares registered in the name of each stockholder. Such list shall be open to the examination of any stockholder, for any purpose germane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The stock ledger shall be the only evidence as to who are the stockholders entitled to examine the stock ledger, the list required by this section or the books of the Corporation, or to vote in person or by proxy at any meeting of stockholders.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w:t>
      </w:r>
      <w:r>
        <w:rPr>
          <w:rFonts w:ascii="Times New Roman" w:hAnsi="Times New Roman"/>
          <w:color w:val="000000"/>
          <w:sz w:val="20"/>
        </w:rPr>
        <w:t xml:space="preserve">           </w:t>
      </w:r>
      <w:r>
        <w:rPr>
          <w:rFonts w:ascii="Times New Roman" w:hAnsi="Times New Roman"/>
          <w:color w:val="010000"/>
          <w:sz w:val="20"/>
          <w:u w:val="single"/>
        </w:rPr>
        <w:t>Quorum</w:t>
      </w:r>
      <w:r>
        <w:rPr>
          <w:rFonts w:ascii="Times New Roman" w:hAnsi="Times New Roman"/>
          <w:color w:val="010000"/>
          <w:sz w:val="20"/>
        </w:rPr>
        <w:t>. Except as otherwise provided by law or the Corporation’s certificate of incorporation (the “</w:t>
      </w:r>
      <w:r>
        <w:rPr>
          <w:rFonts w:ascii="Times New Roman" w:hAnsi="Times New Roman"/>
          <w:color w:val="010000"/>
          <w:sz w:val="20"/>
          <w:u w:val="single"/>
        </w:rPr>
        <w:t>Certificate of Incorporation</w:t>
      </w:r>
      <w:r>
        <w:rPr>
          <w:rFonts w:ascii="Times New Roman" w:hAnsi="Times New Roman"/>
          <w:color w:val="010000"/>
          <w:sz w:val="20"/>
        </w:rPr>
        <w:t>”), a quorum for the transaction of business at any meeting of stockholders shall consist of the holders of record of a majority of the</w:t>
      </w:r>
      <w:r>
        <w:rPr>
          <w:rFonts w:ascii="Times New Roman" w:hAnsi="Times New Roman"/>
          <w:color w:val="010000"/>
          <w:sz w:val="20"/>
          <w:u w:val="single"/>
        </w:rPr>
        <w:t> </w:t>
      </w:r>
      <w:r>
        <w:rPr>
          <w:rFonts w:ascii="Times New Roman" w:hAnsi="Times New Roman"/>
          <w:color w:val="010000"/>
          <w:sz w:val="20"/>
        </w:rPr>
        <w:t>issued and outstanding shares of the capital stock of the Corporation entitled to vote at the meeting, present in person or represented by proxy. At all meetings of the stockholders at which a quorum is present, all matters, except as otherwise provided by law or the Certificate of Incorporation, shall be decided by the vote of the holders of a majority of the shares entitled to vote thereat present in person or by proxy. If there be no such quorum, the holders of a majority of such shares so present or represented may adjourn the meeting from time to time, without further notice, until a quorum shall have been obtained. When a quorum is once present it is not broken by the subsequent withdrawal of any stockholder.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6.</w:t>
      </w:r>
      <w:r>
        <w:rPr>
          <w:rFonts w:ascii="Times New Roman" w:hAnsi="Times New Roman"/>
          <w:color w:val="000000"/>
          <w:sz w:val="20"/>
        </w:rPr>
        <w:t xml:space="preserve">           </w:t>
      </w:r>
      <w:r>
        <w:rPr>
          <w:rFonts w:ascii="Times New Roman" w:hAnsi="Times New Roman"/>
          <w:color w:val="010000"/>
          <w:sz w:val="20"/>
          <w:u w:val="single"/>
        </w:rPr>
        <w:t>Organization</w:t>
      </w:r>
      <w:r>
        <w:rPr>
          <w:rFonts w:ascii="Times New Roman" w:hAnsi="Times New Roman"/>
          <w:color w:val="010000"/>
          <w:sz w:val="20"/>
        </w:rPr>
        <w:t>. Meetings of stockholders shall be presided over by the Chairman, if any, or if none or in the Chairman’s absence the Vice Chairman, if any, or if none or in the Vice Chairman’s absence, the President, if any, or if none or in the President’s absence a Vice President, or, if none of the foregoing is present, by a chairman to be chosen by the stockholders entitled to vote who are present in person or by proxy at the meeting. The Secretary of the Corporation, or in the Secretary’s absence, the presiding officer of the meeting shall appoint any person present to act as secretary of the meeting.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7.</w:t>
      </w:r>
      <w:r>
        <w:rPr>
          <w:rFonts w:ascii="Times New Roman" w:hAnsi="Times New Roman"/>
          <w:color w:val="000000"/>
          <w:sz w:val="20"/>
        </w:rPr>
        <w:t xml:space="preserve">            </w:t>
      </w:r>
      <w:r>
        <w:rPr>
          <w:rFonts w:ascii="Times New Roman" w:hAnsi="Times New Roman"/>
          <w:color w:val="010000"/>
          <w:sz w:val="20"/>
          <w:u w:val="single"/>
        </w:rPr>
        <w:t>Voting; Proxies; Required Vote</w:t>
      </w:r>
      <w:r>
        <w:rPr>
          <w:rFonts w:ascii="Times New Roman" w:hAnsi="Times New Roman"/>
          <w:color w:val="01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At each meeting of stockholders, every stockholder entitled to vote at such meeting shall be entitled to vote in person or by proxy appointed by instrument in writing, subscribed by such stockholder or by such stockholder’s duly authorized attorney-in-fact (but no such proxy shall be voted or acted upon after three (3) years from its date, unless the proxy provides for a longer period), and, unless the Certificate of Incorporation provides otherwise, shall have one vote for each share of stock entitled to vote registered in the name of such stockholder on the books of the Corporation on the applicable record date fixed pursuant to these Amended and Restated Bylaws (“</w:t>
      </w:r>
      <w:r>
        <w:rPr>
          <w:rFonts w:ascii="Times New Roman" w:hAnsi="Times New Roman"/>
          <w:color w:val="000000"/>
          <w:sz w:val="20"/>
          <w:u w:val="single"/>
        </w:rPr>
        <w:t>Bylaws</w:t>
      </w:r>
      <w:r>
        <w:rPr>
          <w:rFonts w:ascii="Times New Roman" w:hAnsi="Times New Roman"/>
          <w:color w:val="000000"/>
          <w:sz w:val="20"/>
        </w:rPr>
        <w:t>”). At all elections of directors the voting may be, but need not be, by ballot and a plurality of the votes cast there shall elect such directors. Except as otherwise required by law or the Certificate of Incorporation, any other action shall be authorized by a majority of the votes cast.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Any action required or permitted to be taken at any meeting of stockholders may, except as otherwise required by law or the Certificate of Incorporation, be taken without a meeting, without prior notice and without a vote, if a consent in writing, setting forth the action so taken, shall be signed by the holders of record of the issued and outstanding capital stock of the Corporation having the number of votes that would be necessary to authorize or take such action at a meeting at which all shares entitled to vote thereon were present and voted, and the writing or writings are filed with the permanent records of the Corporation. Prompt notice of the taking of corporate action without a meeting by less than unanimous written consent shall be given to those stockholders who have not consented in writing.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Where a separate vote is to be taken by a class or classes, the presence in person or by proxy of a majority of the holders of record of such class or classes shall constitute a quorum and the affirmative vote of the majority of shares of such class or classes present in person or represented by proxy at the meeting shall be the act of such class, unless otherwise provided in the Certificate of Incorporation.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8.</w:t>
      </w:r>
      <w:r>
        <w:rPr>
          <w:rFonts w:ascii="Times New Roman" w:hAnsi="Times New Roman"/>
          <w:color w:val="000000"/>
          <w:sz w:val="20"/>
        </w:rPr>
        <w:t xml:space="preserve">          </w:t>
      </w:r>
      <w:r>
        <w:rPr>
          <w:rFonts w:ascii="Times New Roman" w:hAnsi="Times New Roman"/>
          <w:color w:val="010000"/>
          <w:sz w:val="20"/>
          <w:u w:val="single"/>
        </w:rPr>
        <w:t>Inspectors</w:t>
      </w:r>
      <w:r>
        <w:rPr>
          <w:rFonts w:ascii="Times New Roman" w:hAnsi="Times New Roman"/>
          <w:color w:val="010000"/>
          <w:sz w:val="20"/>
        </w:rPr>
        <w:t>. The Board of Directors, in advance of any meeting, may, but need not, appoint one or more inspectors of election to act at the meeting or any adjournment thereof. If an inspector or inspectors are not so appointed, the person presiding at the meeting may, but need not, appoint one or more inspectors. In case any person who may be appointed as an inspector fails to appear or act, the vacancy may be filled by appointment made by the directors in advance of the meeting or at the meeting by the person presiding thereat. Each inspector, if any, before entering upon the discharge of his or her duties, shall take and sign an oath faithfully to execute the duties of inspector at such meeting with strict impartiality and according to the best of his or her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 or inspectors, if any, shall make a report in writing of any challenge, question or matter determined by such inspector or inspectors and execute a certificate of any fact found by such inspector or inspectors.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General Powers</w:t>
      </w:r>
      <w:r>
        <w:rPr>
          <w:rFonts w:ascii="Times New Roman" w:hAnsi="Times New Roman"/>
          <w:color w:val="010000"/>
          <w:sz w:val="20"/>
        </w:rPr>
        <w:t>. The business, property and affairs of the Corporation shall be managed by, or under the direction of,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Qualification; Number; Term; Compensation</w:t>
      </w:r>
      <w:r>
        <w:rPr>
          <w:rFonts w:ascii="Times New Roman" w:hAnsi="Times New Roman"/>
          <w:color w:val="01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Each director shall be at least eighteen (18) years of age. A director need not be a stockholder, a citizen of the United States or a resident of the State of Delaware. The number of directors constituting the entire Board of Directors shall be fixed initially by the incorporator and thereafter by the Board of Directors and shall be at least one, or such larger number as may be fixed initially by the incorporator and thereafter from time to time by the Board of Directors, one of whom may be selected by the Board of Directors to be its Chairman. The use of the phrase “entire Board of Directors” herein refers to the total number of directors which the Corporation would have if there were no vacancies.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Directors who are elected at an annual meeting of stockholders, and directors who are elected in the interim to fill vacancies and newly created directorships, shall hold office until the next annual meeting of stockholders and until their successors are elected and qualified or until their earlier resignation or removal.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Quorum and Manner of Voting</w:t>
      </w:r>
      <w:r>
        <w:rPr>
          <w:rFonts w:ascii="Times New Roman" w:hAnsi="Times New Roman"/>
          <w:color w:val="010000"/>
          <w:sz w:val="20"/>
        </w:rPr>
        <w:t>. Except as otherwise provided by law, a majority of the entire Board of Directors shall constitute a quorum. A majority of the directors present, whether or not a quorum is present, may adjourn a meeting from time to time to another time and place without notice. The vote of the majority of the directors present at a meeting at which a quorum is present shall be the act of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Places of Meetings</w:t>
      </w:r>
      <w:r>
        <w:rPr>
          <w:rFonts w:ascii="Times New Roman" w:hAnsi="Times New Roman"/>
          <w:color w:val="010000"/>
          <w:sz w:val="20"/>
        </w:rPr>
        <w:t>. Meetings of the Board of Directors may be held at any place within or without the State of Delaware, as may from time to time be fixed by resolution of the Board of Directors, or as may be specified in the notice of meeting.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w:t>
      </w:r>
      <w:r>
        <w:rPr>
          <w:rFonts w:ascii="Times New Roman" w:hAnsi="Times New Roman"/>
          <w:color w:val="000000"/>
          <w:sz w:val="20"/>
        </w:rPr>
        <w:t xml:space="preserve">          </w:t>
      </w:r>
      <w:r>
        <w:rPr>
          <w:rFonts w:ascii="Times New Roman" w:hAnsi="Times New Roman"/>
          <w:color w:val="010000"/>
          <w:sz w:val="20"/>
          <w:u w:val="single"/>
        </w:rPr>
        <w:t>Annual Meeting</w:t>
      </w:r>
      <w:r>
        <w:rPr>
          <w:rFonts w:ascii="Times New Roman" w:hAnsi="Times New Roman"/>
          <w:color w:val="010000"/>
          <w:sz w:val="20"/>
        </w:rPr>
        <w:t>. Following the annual meeting of stockholders, the newly elected Board of Directors shall meet for the purpose of the election of officers and the transaction of such other business as may properly come before the meeting. Such meeting may be held without notice immediately after the annual meeting of stockholders at the same place at which such stockholders’ meeting is held.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6.</w:t>
      </w:r>
      <w:r>
        <w:rPr>
          <w:rFonts w:ascii="Times New Roman" w:hAnsi="Times New Roman"/>
          <w:color w:val="000000"/>
          <w:sz w:val="20"/>
        </w:rPr>
        <w:t xml:space="preserve">          </w:t>
      </w:r>
      <w:r>
        <w:rPr>
          <w:rFonts w:ascii="Times New Roman" w:hAnsi="Times New Roman"/>
          <w:color w:val="010000"/>
          <w:sz w:val="20"/>
          <w:u w:val="single"/>
        </w:rPr>
        <w:t>Regular Meetings</w:t>
      </w:r>
      <w:r>
        <w:rPr>
          <w:rFonts w:ascii="Times New Roman" w:hAnsi="Times New Roman"/>
          <w:color w:val="010000"/>
          <w:sz w:val="20"/>
        </w:rPr>
        <w:t>. Regular meetings of the Board of Directors shall be held at such times and places as the Board of Directors shall from time to time determine by resolution. Notice need not be given of regular meetings of the Board of Directors held at times and places fixed by resolution of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7.</w:t>
      </w:r>
      <w:r>
        <w:rPr>
          <w:rFonts w:ascii="Times New Roman" w:hAnsi="Times New Roman"/>
          <w:color w:val="000000"/>
          <w:sz w:val="20"/>
        </w:rPr>
        <w:t xml:space="preserve">           </w:t>
      </w:r>
      <w:r>
        <w:rPr>
          <w:rFonts w:ascii="Times New Roman" w:hAnsi="Times New Roman"/>
          <w:color w:val="010000"/>
          <w:sz w:val="20"/>
          <w:u w:val="single"/>
        </w:rPr>
        <w:t>Special Meetings</w:t>
      </w:r>
      <w:r>
        <w:rPr>
          <w:rFonts w:ascii="Times New Roman" w:hAnsi="Times New Roman"/>
          <w:color w:val="010000"/>
          <w:sz w:val="20"/>
        </w:rPr>
        <w:t>. Special meetings of the Board of Directors shall be held whenever called by the Chairman of the Board of Directors, the President or by a majority of directors then in office. Notice of the place, date and time and the purpose or purposes of each special meeting of the Board of Directors shall be given to each director by mailing the same at least two (2) days before the meeting, or by telephoning or emailing the same or by delivering the same personally not later than the day before the day of the meeting.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8.</w:t>
      </w:r>
      <w:r>
        <w:rPr>
          <w:rFonts w:ascii="Times New Roman" w:hAnsi="Times New Roman"/>
          <w:color w:val="000000"/>
          <w:sz w:val="20"/>
        </w:rPr>
        <w:t xml:space="preserve">        </w:t>
      </w:r>
      <w:r>
        <w:rPr>
          <w:rFonts w:ascii="Times New Roman" w:hAnsi="Times New Roman"/>
          <w:color w:val="010000"/>
          <w:sz w:val="20"/>
          <w:u w:val="single"/>
        </w:rPr>
        <w:t>Meetings by Means of Conference Telephone</w:t>
      </w:r>
      <w:r>
        <w:rPr>
          <w:rFonts w:ascii="Times New Roman" w:hAnsi="Times New Roman"/>
          <w:color w:val="010000"/>
          <w:sz w:val="20"/>
        </w:rPr>
        <w:t>. Unless otherwise provided by the Certificate of Incorporation or these Bylaws, members of the Board of Directors, or any committee designated by the Board of Directors, may participate in a meeting of the Board of Directors or such committee by means of a conference telephone or similar communication equipment by means of which all persons participating in the meeting can hear each other, and such participation in a meeting pursuant to this Section 8 shall constitute presence at such meeting.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9.</w:t>
      </w:r>
      <w:r>
        <w:rPr>
          <w:rFonts w:ascii="Times New Roman" w:hAnsi="Times New Roman"/>
          <w:color w:val="000000"/>
          <w:sz w:val="20"/>
        </w:rPr>
        <w:t xml:space="preserve">         </w:t>
      </w:r>
      <w:r>
        <w:rPr>
          <w:rFonts w:ascii="Times New Roman" w:hAnsi="Times New Roman"/>
          <w:color w:val="010000"/>
          <w:sz w:val="20"/>
          <w:u w:val="single"/>
        </w:rPr>
        <w:t>Organization</w:t>
      </w:r>
      <w:r>
        <w:rPr>
          <w:rFonts w:ascii="Times New Roman" w:hAnsi="Times New Roman"/>
          <w:color w:val="010000"/>
          <w:sz w:val="20"/>
        </w:rPr>
        <w:t>. The Chairman of the Board of Directors, if there be one, or if none or in the Chairman’s absence or inability to act the Vice Chairman, if any, or if none or in the Vice Chairman’s absence or inability to act the President, or in the President’s absence or inability to act any Vice President who is a member of the Board of Directors, or in such Vice President’s absence or inability to act, a chairman chosen by the directors, shall preside at all meetings of the Board of Directors and shall have such other powers and duties as may from time to time be assigned by the Board of Directors. The Secretary of the Corporation shall act as secretary at all meetings of the Board of Directors when present, and, in the Secretary’s absence, the presiding officer may appoint any person to act as secretary.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10.</w:t>
      </w:r>
      <w:r>
        <w:rPr>
          <w:rFonts w:ascii="Times New Roman" w:hAnsi="Times New Roman"/>
          <w:color w:val="000000"/>
          <w:sz w:val="20"/>
        </w:rPr>
        <w:t>          </w:t>
      </w:r>
      <w:r>
        <w:rPr>
          <w:rFonts w:ascii="Times New Roman" w:hAnsi="Times New Roman"/>
          <w:color w:val="010000"/>
          <w:sz w:val="20"/>
          <w:u w:val="single"/>
        </w:rPr>
        <w:t>Resignation; Removal</w:t>
      </w:r>
      <w:r>
        <w:rPr>
          <w:rFonts w:ascii="Times New Roman" w:hAnsi="Times New Roman"/>
          <w:color w:val="010000"/>
          <w:sz w:val="20"/>
        </w:rPr>
        <w:t>. Any director may resign at any time upon written notice to the Corporation and such resignation shall take effect upon receipt thereof by the President or Secretary, unless otherwise specified in the resignation. Any or all of the directors may be removed, with or without cause, by the holders of a majority of the shares of stock outstanding and entitled to vote for the election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11.</w:t>
      </w:r>
      <w:r>
        <w:rPr>
          <w:rFonts w:ascii="Times New Roman" w:hAnsi="Times New Roman"/>
          <w:color w:val="000000"/>
          <w:sz w:val="20"/>
        </w:rPr>
        <w:t xml:space="preserve">        </w:t>
      </w:r>
      <w:r>
        <w:rPr>
          <w:rFonts w:ascii="Times New Roman" w:hAnsi="Times New Roman"/>
          <w:color w:val="010000"/>
          <w:sz w:val="20"/>
          <w:u w:val="single"/>
        </w:rPr>
        <w:t>Vacancies</w:t>
      </w:r>
      <w:r>
        <w:rPr>
          <w:rFonts w:ascii="Times New Roman" w:hAnsi="Times New Roman"/>
          <w:color w:val="010000"/>
          <w:sz w:val="20"/>
        </w:rPr>
        <w:t>. Unless otherwise provided in these Bylaws, vacancies on the Board of Directors, whether caused by resignation, death, disqualification, removal, an increase in the authorized number of directors or otherwise, may be filled by the affirmative vote of a majority of the remaining directors, although less than a quorum, or by a sole remaining director, or at a special meeting of the stockholders, by the holders of shares entitled to vote for the election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12.</w:t>
      </w:r>
      <w:r>
        <w:rPr>
          <w:rFonts w:ascii="Times New Roman" w:hAnsi="Times New Roman"/>
          <w:color w:val="000000"/>
          <w:sz w:val="20"/>
        </w:rPr>
        <w:t xml:space="preserve">        </w:t>
      </w:r>
      <w:r>
        <w:rPr>
          <w:rFonts w:ascii="Times New Roman" w:hAnsi="Times New Roman"/>
          <w:color w:val="010000"/>
          <w:sz w:val="20"/>
          <w:u w:val="single"/>
        </w:rPr>
        <w:t>Action by Written Consent</w:t>
      </w:r>
      <w:r>
        <w:rPr>
          <w:rFonts w:ascii="Times New Roman" w:hAnsi="Times New Roman"/>
          <w:color w:val="010000"/>
          <w:sz w:val="20"/>
        </w:rPr>
        <w:t>. Any action required or permitted to be taken at any meeting of the Board of Directors may be taken without a meeting if all the directors consent thereto in writing, and the writing or writings are filed with the minutes of proceedings of the Board of Directors.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COMMITTEES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Appointment</w:t>
      </w:r>
      <w:r>
        <w:rPr>
          <w:rFonts w:ascii="Times New Roman" w:hAnsi="Times New Roman"/>
          <w:color w:val="010000"/>
          <w:sz w:val="20"/>
        </w:rPr>
        <w:t>. From time to time the Board of Directors by a resolution adopted by a majority of the entire Board of Directors may appoint any committee or committees for any purpose or purposes, to the extent lawful, which shall have powers as shall be determined and specified by the Board of Directors in the resolution of appointment.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Procedures, Quorum and Manner of Acting</w:t>
      </w:r>
      <w:r>
        <w:rPr>
          <w:rFonts w:ascii="Times New Roman" w:hAnsi="Times New Roman"/>
          <w:color w:val="010000"/>
          <w:sz w:val="20"/>
        </w:rPr>
        <w:t>. Each committee shall fix its own rules of procedure, and shall meet where and as provided by such rules or by resolution of the Board of Directors. Except as otherwise provided by law, the presence of a majority of the then appointed members of a committee shall constitute a quorum for the transaction of business by that committee, and in every case where a quorum is present the affirmative vote of a majority of the members of the committee present shall be the act of the committee. Each committee shall keep minutes of its proceedings, and actions taken by a committee shall be reported to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Action by Written Consent</w:t>
      </w:r>
      <w:r>
        <w:rPr>
          <w:rFonts w:ascii="Times New Roman" w:hAnsi="Times New Roman"/>
          <w:color w:val="010000"/>
          <w:sz w:val="20"/>
        </w:rPr>
        <w:t>. Any action required or permitted to be taken at any meeting of any committee of the Board of Directors may be taken without a meeting if all the members of the committee consent thereto in writing, and the writing or writings are filed with the minutes of proceedings of the committee.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Term; Termination</w:t>
      </w:r>
      <w:r>
        <w:rPr>
          <w:rFonts w:ascii="Times New Roman" w:hAnsi="Times New Roman"/>
          <w:color w:val="010000"/>
          <w:sz w:val="20"/>
        </w:rPr>
        <w:t>. In the event any person shall cease to be a director of the Corporation, such person shall simultaneously therewith cease to be a member of any committee appointed by the Board of Directors.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OFFICERS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Election and Qualifications</w:t>
      </w:r>
      <w:r>
        <w:rPr>
          <w:rFonts w:ascii="Times New Roman" w:hAnsi="Times New Roman"/>
          <w:color w:val="010000"/>
          <w:sz w:val="20"/>
        </w:rPr>
        <w:t>. The Board of Directors shall elect the officers of the Corporation, which shall include a President and a Secretary, and may include, by election or appointment, one or more Vice Presidents (any one or more of whom may be given an additional</w:t>
      </w:r>
      <w:r>
        <w:rPr>
          <w:rFonts w:ascii="Times New Roman" w:hAnsi="Times New Roman"/>
          <w:color w:val="010000"/>
          <w:sz w:val="20"/>
          <w:u w:val="single"/>
        </w:rPr>
        <w:t> </w:t>
      </w:r>
      <w:r>
        <w:rPr>
          <w:rFonts w:ascii="Times New Roman" w:hAnsi="Times New Roman"/>
          <w:color w:val="010000"/>
          <w:sz w:val="20"/>
        </w:rPr>
        <w:t>designation of rank or function), a Treasurer and such Assistant Secretaries, such Assistant Treasurers and such other officers as the Board of Directors may from time to time deem proper. Each officer shall have such powers and duties as may be prescribed by these Bylaws and as may be assigned by the Board of Directors or the President. Any two (2) or more offices may be held by the same person. The Chairman of the Board of Directors, if one is appointed, shall, if present, preside at all meetings of the stockholders.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Term of Office and Remuneration</w:t>
      </w:r>
      <w:r>
        <w:rPr>
          <w:rFonts w:ascii="Times New Roman" w:hAnsi="Times New Roman"/>
          <w:color w:val="010000"/>
          <w:sz w:val="20"/>
        </w:rPr>
        <w:t>. All officers shall hold office until their successors are elected and qualified. Any vacancy in any office arising from any cause may be filled for the unexpired portion of the term by the Board of Directors. The remuneration of all officers of the Corporation may be fixed by the Board of Directors or in such manner as the Board of Directors shall provide.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Resignation; Removal</w:t>
      </w:r>
      <w:r>
        <w:rPr>
          <w:rFonts w:ascii="Times New Roman" w:hAnsi="Times New Roman"/>
          <w:color w:val="010000"/>
          <w:sz w:val="20"/>
        </w:rPr>
        <w:t>. Any officer may resign at any time upon written notice to the Corporation and such resignation shall take effect upon receipt thereof by the President or Secretary, unless otherwise specified in the resignation. Any officer shall be subject</w:t>
      </w:r>
      <w:r>
        <w:rPr>
          <w:rFonts w:ascii="Times New Roman" w:hAnsi="Times New Roman"/>
          <w:color w:val="010000"/>
          <w:sz w:val="20"/>
          <w:u w:val="single"/>
        </w:rPr>
        <w:t> </w:t>
      </w:r>
      <w:r>
        <w:rPr>
          <w:rFonts w:ascii="Times New Roman" w:hAnsi="Times New Roman"/>
          <w:color w:val="010000"/>
          <w:sz w:val="20"/>
        </w:rPr>
        <w:t>to removal, with or without cause, at any time by vote of a majority of the entire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President</w:t>
      </w:r>
      <w:r>
        <w:rPr>
          <w:rFonts w:ascii="Times New Roman" w:hAnsi="Times New Roman"/>
          <w:color w:val="010000"/>
          <w:sz w:val="20"/>
        </w:rPr>
        <w:t>. The President shall, subject to control of the Board of Directors, have direction and control of the business and officers of the Corporation, shall have the general powers and duties of management usually vested in the president of a corporation, and shall have such other powers and duties as may from time to time be assigned by the Board of Directors. The President may appoint and remove assistant officers and other agents and employees; and may execute and deliver in the name of the Corporation powers of attorney, contracts, bonds and other obligations and instruments.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w:t>
      </w:r>
      <w:r>
        <w:rPr>
          <w:rFonts w:ascii="Times New Roman" w:hAnsi="Times New Roman"/>
          <w:color w:val="000000"/>
          <w:sz w:val="20"/>
        </w:rPr>
        <w:t xml:space="preserve">             </w:t>
      </w:r>
      <w:r>
        <w:rPr>
          <w:rFonts w:ascii="Times New Roman" w:hAnsi="Times New Roman"/>
          <w:color w:val="010000"/>
          <w:sz w:val="20"/>
          <w:u w:val="single"/>
        </w:rPr>
        <w:t>Vice President</w:t>
      </w:r>
      <w:r>
        <w:rPr>
          <w:rFonts w:ascii="Times New Roman" w:hAnsi="Times New Roman"/>
          <w:color w:val="010000"/>
          <w:sz w:val="20"/>
        </w:rPr>
        <w:t>. A Vice President may execute and deliver in the name of the Corporation contracts and other obligations and instruments pertaining to the regular course of the duties of said office, and shall have such other authority as from time to time may be assigned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6.</w:t>
      </w:r>
      <w:r>
        <w:rPr>
          <w:rFonts w:ascii="Times New Roman" w:hAnsi="Times New Roman"/>
          <w:color w:val="000000"/>
          <w:sz w:val="20"/>
        </w:rPr>
        <w:t xml:space="preserve">           </w:t>
      </w:r>
      <w:r>
        <w:rPr>
          <w:rFonts w:ascii="Times New Roman" w:hAnsi="Times New Roman"/>
          <w:color w:val="010000"/>
          <w:sz w:val="20"/>
          <w:u w:val="single"/>
        </w:rPr>
        <w:t>Treasurer</w:t>
      </w:r>
      <w:r>
        <w:rPr>
          <w:rFonts w:ascii="Times New Roman" w:hAnsi="Times New Roman"/>
          <w:color w:val="010000"/>
          <w:sz w:val="20"/>
        </w:rPr>
        <w:t>. The Treasurer (if any) shall in general have all duties incident to the position of Treasurer and such other duties as may be assigned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7.</w:t>
      </w:r>
      <w:r>
        <w:rPr>
          <w:rFonts w:ascii="Times New Roman" w:hAnsi="Times New Roman"/>
          <w:color w:val="000000"/>
          <w:sz w:val="20"/>
        </w:rPr>
        <w:t xml:space="preserve">          </w:t>
      </w:r>
      <w:r>
        <w:rPr>
          <w:rFonts w:ascii="Times New Roman" w:hAnsi="Times New Roman"/>
          <w:color w:val="010000"/>
          <w:sz w:val="20"/>
          <w:u w:val="single"/>
        </w:rPr>
        <w:t>Secretary</w:t>
      </w:r>
      <w:r>
        <w:rPr>
          <w:rFonts w:ascii="Times New Roman" w:hAnsi="Times New Roman"/>
          <w:color w:val="010000"/>
          <w:sz w:val="20"/>
        </w:rPr>
        <w:t>. The Secretary shall in general have all the duties incident to the office of Secretary and such other duties as may be assigned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8.</w:t>
      </w:r>
      <w:r>
        <w:rPr>
          <w:rFonts w:ascii="Times New Roman" w:hAnsi="Times New Roman"/>
          <w:color w:val="000000"/>
          <w:sz w:val="20"/>
        </w:rPr>
        <w:t xml:space="preserve">            </w:t>
      </w:r>
      <w:r>
        <w:rPr>
          <w:rFonts w:ascii="Times New Roman" w:hAnsi="Times New Roman"/>
          <w:color w:val="010000"/>
          <w:sz w:val="20"/>
          <w:u w:val="single"/>
        </w:rPr>
        <w:t>Other Officers</w:t>
      </w:r>
      <w:r>
        <w:rPr>
          <w:rFonts w:ascii="Times New Roman" w:hAnsi="Times New Roman"/>
          <w:color w:val="010000"/>
          <w:sz w:val="20"/>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BOOKS AND RECORDS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Location</w:t>
      </w:r>
      <w:r>
        <w:rPr>
          <w:rFonts w:ascii="Times New Roman" w:hAnsi="Times New Roman"/>
          <w:color w:val="010000"/>
          <w:sz w:val="20"/>
        </w:rPr>
        <w:t>. The books and records of the Corporation may be kept at such place or places within or outside the State of Delaware as the Board of Directors or the respective officers in charge thereof may from time to time determine. The record books containing the names and addresses of all stockholders, the number and class of shares of stock held by each and the dates when they respectively became the owners of record thereof shall be kept by the Secretary as prescribed in these Bylaws and by such officer or agent as shall be designated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Addresses of Stockholders</w:t>
      </w:r>
      <w:r>
        <w:rPr>
          <w:rFonts w:ascii="Times New Roman" w:hAnsi="Times New Roman"/>
          <w:color w:val="010000"/>
          <w:sz w:val="20"/>
        </w:rPr>
        <w:t>. Notices of meetings and all other corporate notices may be delivered personally or mailed to each stockholder at the stockholder’s address as it appears on the records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Fixing Date for Determination of Stockholders of Record</w:t>
      </w:r>
      <w:r>
        <w:rPr>
          <w:rFonts w:ascii="Times New Roman" w:hAnsi="Times New Roman"/>
          <w:color w:val="01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xml:space="preserve">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i/>
          <w:color w:val="000000"/>
          <w:sz w:val="20"/>
        </w:rPr>
        <w:t>provided, however</w:t>
      </w:r>
      <w:r>
        <w:rPr>
          <w:rFonts w:ascii="Times New Roman" w:hAnsi="Times New Roman"/>
          <w:color w:val="000000"/>
          <w:sz w:val="20"/>
        </w:rPr>
        <w:t>, that the Board of Directors may fix a new record date for the adjourned meeting.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if no record date has been fixed by the Board of Directors, the record date for determining stockholders entitled to consent to corporate action in writing without a meeting, when no prior action by the Board of Directors is required, shall be the first date on which a signed written consent setting forth the action taken or proposed to be taken is delivered to the Corporation by delivery to its registered office in this State,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this article, the record date for determining stockholders entitled to consent to corporate action in writing without a meeting shall be at the close of business on the day on which the Board of Directors adopts the resolution taking such prior 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VI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CERTIFICATES REPRESENTING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Certificates; Signatures</w:t>
      </w:r>
      <w:r>
        <w:rPr>
          <w:rFonts w:ascii="Times New Roman" w:hAnsi="Times New Roman"/>
          <w:color w:val="010000"/>
          <w:sz w:val="20"/>
        </w:rPr>
        <w:t>. Unless, to the extent permitted by applicable law, the Board of Directors has resolved that any series or class of shares of capital stock of the Corporation shall be uncertificated, upon request every holder of shares shall be entitled to have a certificate, signed by or in the name of the Corporation by any two (2) officers of the Corporation, representing the number of shares registered in such holder’s name. Any and all signatures on any such certificate may be facsimiles.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The name of the holder of record of the shares represented thereby, with the number of such shares and the date of issue, shall be entered on the books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Transfers of Stock</w:t>
      </w:r>
      <w:r>
        <w:rPr>
          <w:rFonts w:ascii="Times New Roman" w:hAnsi="Times New Roman"/>
          <w:color w:val="010000"/>
          <w:sz w:val="20"/>
        </w:rPr>
        <w:t>. Upon compliance with provisions restricting the transfer or registration of transfer of shares of stock, if any, shares of capital stock shall be transferable on the books of the Corporation only by the holder of record thereof in person, or by a duly authorized attorney, upon surrender and cancellation of certificates for a like number of shares, properly endorsed, and the payment of all taxes due thereon.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Fractional Shares</w:t>
      </w:r>
      <w:r>
        <w:rPr>
          <w:rFonts w:ascii="Times New Roman" w:hAnsi="Times New Roman"/>
          <w:color w:val="010000"/>
          <w:sz w:val="20"/>
        </w:rPr>
        <w:t>. The Corporation may, but shall not be required to, issue certificates for fractions of a share where necessary to effect authorized transactions, or the Corporation may pay in cash the fair value of fractions of a share as of the time when those entitled to receive such fractions are determined, or it may issue scrip in registered or bearer form over the manual or facsimile signature of an officer of the Corporation or of its agent, exchangeable as therein provided for full shares, but such scrip shall not entitle the holder to any rights of a stockholder except as therein provided.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Rules and Regulations</w:t>
      </w:r>
      <w:r>
        <w:rPr>
          <w:rFonts w:ascii="Times New Roman" w:hAnsi="Times New Roman"/>
          <w:color w:val="010000"/>
          <w:sz w:val="20"/>
        </w:rPr>
        <w:t>. The Board of Directors shall have power and authority to make all such rules and regulations as it may deem expedient concerning the issue, transfer and registration of certificates representing shares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w:t>
      </w:r>
      <w:r>
        <w:rPr>
          <w:rFonts w:ascii="Times New Roman" w:hAnsi="Times New Roman"/>
          <w:color w:val="000000"/>
          <w:sz w:val="20"/>
        </w:rPr>
        <w:t xml:space="preserve">          </w:t>
      </w:r>
      <w:r>
        <w:rPr>
          <w:rFonts w:ascii="Times New Roman" w:hAnsi="Times New Roman"/>
          <w:color w:val="010000"/>
          <w:sz w:val="20"/>
          <w:u w:val="single"/>
        </w:rPr>
        <w:t>Lost, Stolen or Destroyed Certificates</w:t>
      </w:r>
      <w:r>
        <w:rPr>
          <w:rFonts w:ascii="Times New Roman" w:hAnsi="Times New Roman"/>
          <w:color w:val="010000"/>
          <w:sz w:val="20"/>
        </w:rPr>
        <w:t>. The Corporation may issue a new certificate of stock in place of any certificate, theretofore issued by it, alleged to have been lost, stolen or destroyed, and the Board of Directors may require the owner of any lost, stolen or destroyed certificate, or his legal representative, to give the Corporation a bond sufficient to indemnify the Corporation against any claim that may be made against it on account of the alleged loss, theft or destruction of any such certificate or the issuance of any such new certificate.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VII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DIVIDENDS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Subject always to the provisions of applicable law and the Certificate of Incorporation, the Board of Directors shall have full power to determine whether any, and, if any, what part of any, funds legally available for the payment of dividends shall be declared as dividends and paid to stockholders; the division of the whole or any part of such funds of the Corporation shall rest wholly within the lawful discretion of the Board of Directors, and it shall not be required at any time, against such discretion, to divide or pay any part of such funds among or to the stockholders as dividends or otherwise; and before payment of any dividend, there may be set aside out of any funds of the Corporation legally available for dividends such sum or sums as the Board of Directors from time to time, in its absolute discretion, deems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VIII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RATIFICATION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Any transaction, questioned in any lawsuit on the ground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and if so ratified shall have the same force and effect as if the questioned transaction had been originally duly authorized. Such ratification shall be binding upon the Corporation and its stockholders and shall constitute a bar to any claim or execution of any judgment in respect of such questioned transaction.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IX</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CORPORATE SEAL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The Corporation may have a corporate seal. The corporate seal shall have inscribed thereon the name of the Corporation and the year of its incorporation, and shall be in such form and contain such other words and/or figures as the Board of Directors shall determine. The corporate seal may be used by printing, engraving, lithographing, stamping or otherwise making, placing or affixing, or causing to be printed, engraved, lithographed, stamped or otherwise made, placed or affixed, upon any paper or document, by any process whatsoever, an impression, facsimile or other reproduction of said corporate seal.</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X</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FISCAL YEAR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The fiscal year of the Corporation shall be fixed, and shall be subject to change, by the Board of Directors. Unless otherwise fixed by the Board of Directors, the fiscal year of the Corporation shall be the calendar year.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XI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WAIVER OF NOTICE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Whenever notice is required to be given by these Bylaws or by the Certificate of Incorporation or by law, a written waiver thereof, signed by the person or persons entitled to such notice, whether before or after the time stated therein, shall be deemed equivalent to notice.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XII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BANK ACCOUNTS, DRAFTS, CONTRACTS, ETC.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Bank Accounts and Drafts</w:t>
      </w:r>
      <w:r>
        <w:rPr>
          <w:rFonts w:ascii="Times New Roman" w:hAnsi="Times New Roman"/>
          <w:color w:val="010000"/>
          <w:sz w:val="20"/>
        </w:rPr>
        <w:t>. In addition to such bank accounts as may be authorized by the Board of Directors, the primary financial officer or any person designated by said primary financial officer or otherwise authorized by the Board of Directors, whether or not an employee of the Corporation, may authorize such bank accounts to be opened or maintained in the name and on behalf of the Corporation as he may deem necessary or appropriate, payments from such bank accounts to be made upon and according to the check of the Corporation in accordance with the written instructions of said primary financial officer, or other person so authorized.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Contracts</w:t>
      </w:r>
      <w:r>
        <w:rPr>
          <w:rFonts w:ascii="Times New Roman" w:hAnsi="Times New Roman"/>
          <w:color w:val="010000"/>
          <w:sz w:val="20"/>
        </w:rPr>
        <w:t>. The Board of Directors may authorize any person or persons, in the name and on behalf of the Corporation, to enter into or execute and deliver any and all deeds, bonds, mortgages, contracts and other obligations or instruments (including powers of attorney), and such authority may be general or confined to specific instances.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Proxies; Powers of Attorney; Other Instruments</w:t>
      </w:r>
      <w:r>
        <w:rPr>
          <w:rFonts w:ascii="Times New Roman" w:hAnsi="Times New Roman"/>
          <w:color w:val="010000"/>
          <w:sz w:val="20"/>
        </w:rPr>
        <w:t>. The Chairman, the President or any other person designated by either of them shall have the power and authority to execute and deliver proxies, powers of attorney and other instruments on behalf of the Corporation in connection with the rights and powers incident to the ownership of stock by the Corporation. The Chairman, the President or any other person authorized by proxy or power of attorney executed and delivered by either of them on behalf of the Corporation may attend and vote at any meeting of stockholders of any company in which the Corporation may hold stock, and may exercise on behalf of the Corporation any and all of the rights and powers incident to the ownership of such stock at any such meeting, or otherwise as specified in the proxy or power of attorney so authorizing any such person. The Board of Directors, from time to time, may confer like powers upon any other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Financial Reports</w:t>
      </w:r>
      <w:r>
        <w:rPr>
          <w:rFonts w:ascii="Times New Roman" w:hAnsi="Times New Roman"/>
          <w:color w:val="010000"/>
          <w:sz w:val="20"/>
        </w:rPr>
        <w:t>. The Board of Directors may appoint the primary financial officer or other fiscal officer or any other officer to cause to be prepared and furnished to stockholders entitled thereto any special financial notice and/or financial statement, as the case may be, which may be required by any provision of law.</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XIII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INDEMNIFICATION AND INSURANCE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Indemnification of Officers and Directors</w:t>
      </w:r>
      <w:r>
        <w:rPr>
          <w:rFonts w:ascii="Times New Roman" w:hAnsi="Times New Roman"/>
          <w:color w:val="01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Corporation shall indemnify and hold harmless, to the fullest extent permitted by the DGCL as it presently exists or may hereafter be amended, any director or officer of the Corporation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4 of this Article XIII, the Corporation shall be required to indemnify a covered person in connection with a Proceeding initiated by such covered person only if the Proceeding was authorized in the specific case by the Board of Directors.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Indemnification of Others.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Prepayment of Expenses.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provided, however, that such payment of expenses in advance of the final disposition of the Proceeding shall be made only upon receipt of an undertaking by the covered person to repay all amounts advanced if it should be ultimately determined that the person is not entitled to be indemnified under this Article XIII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Determination; Claim.</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If a claim for indemnification (following the final disposition of such Proceeding) under this Article XIII is not paid in full within sixty (60) days, or a claim for advancement of expenses under this Article XIII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w:t>
      </w:r>
      <w:r>
        <w:rPr>
          <w:rFonts w:ascii="Times New Roman" w:hAnsi="Times New Roman"/>
          <w:color w:val="000000"/>
          <w:sz w:val="20"/>
        </w:rPr>
        <w:t xml:space="preserve">            </w:t>
      </w:r>
      <w:r>
        <w:rPr>
          <w:rFonts w:ascii="Times New Roman" w:hAnsi="Times New Roman"/>
          <w:color w:val="010000"/>
          <w:sz w:val="20"/>
          <w:u w:val="single"/>
        </w:rPr>
        <w:t>Non-Exclusivity of Rights.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rights conferred on any person by this Article XIII shall not be exclusive of any other rights which such person may have or hereafter acquire under any statute, provision of the Certificate of Incorporation, these Bylaws, agreement, vote of stockholders or disinterested directors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6.</w:t>
      </w:r>
      <w:r>
        <w:rPr>
          <w:rFonts w:ascii="Times New Roman" w:hAnsi="Times New Roman"/>
          <w:color w:val="000000"/>
          <w:sz w:val="20"/>
        </w:rPr>
        <w:t xml:space="preserve">             </w:t>
      </w:r>
      <w:r>
        <w:rPr>
          <w:rFonts w:ascii="Times New Roman" w:hAnsi="Times New Roman"/>
          <w:color w:val="010000"/>
          <w:sz w:val="20"/>
          <w:u w:val="single"/>
        </w:rPr>
        <w:t>Insurance.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7.</w:t>
      </w:r>
      <w:r>
        <w:rPr>
          <w:rFonts w:ascii="Times New Roman" w:hAnsi="Times New Roman"/>
          <w:color w:val="000000"/>
          <w:sz w:val="20"/>
        </w:rPr>
        <w:t xml:space="preserve">            </w:t>
      </w:r>
      <w:r>
        <w:rPr>
          <w:rFonts w:ascii="Times New Roman" w:hAnsi="Times New Roman"/>
          <w:color w:val="010000"/>
          <w:sz w:val="20"/>
          <w:u w:val="single"/>
        </w:rPr>
        <w:t>Other Indemnification.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8.</w:t>
      </w:r>
      <w:r>
        <w:rPr>
          <w:rFonts w:ascii="Times New Roman" w:hAnsi="Times New Roman"/>
          <w:color w:val="000000"/>
          <w:sz w:val="20"/>
        </w:rPr>
        <w:t xml:space="preserve">            </w:t>
      </w:r>
      <w:r>
        <w:rPr>
          <w:rFonts w:ascii="Times New Roman" w:hAnsi="Times New Roman"/>
          <w:color w:val="010000"/>
          <w:sz w:val="20"/>
          <w:u w:val="single"/>
        </w:rPr>
        <w:t>Continuation of Indemnification.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rights to indemnification and to prepayment of expenses provided by, or granted pursuant to, this Article XIII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9.</w:t>
      </w:r>
      <w:r>
        <w:rPr>
          <w:rFonts w:ascii="Times New Roman" w:hAnsi="Times New Roman"/>
          <w:color w:val="000000"/>
          <w:sz w:val="20"/>
        </w:rPr>
        <w:t xml:space="preserve">             </w:t>
      </w:r>
      <w:r>
        <w:rPr>
          <w:rFonts w:ascii="Times New Roman" w:hAnsi="Times New Roman"/>
          <w:color w:val="010000"/>
          <w:sz w:val="20"/>
          <w:u w:val="single"/>
        </w:rPr>
        <w:t>Amendment or Repeal; Interpretation.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provisions of this Article XIII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XIII the Corporation intends to be legally bound to each such current or former director or officer of the Corporation. With respect to current and former directors and officers of the Corporation, the rights conferred under this Article XIII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XIII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Any reference to an officer of the Corporation in this Article XIII shall be deemed to refer exclusively to the Chief Executive Officer and Secretary, or other officer of the Corporation appointed by (x) the Board of Directors pursuant to Article IV of these bylaws or (y) an officer to whom the Board of Directors has delegated the power to appoint officers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XIII.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XIV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The Board of Directors shall have the power to adopt, amend or repeal these Bylaws. Bylaws adopted by the Board of Directors may be repealed or changed, and new Bylaws made, by the stockholders, and the stockholders may prescribe that any Bylaw made by them shall not be altered, amended or repealed by the Board of Directors.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Annex III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CONTINGENT VALUE RIGHTS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CONTINGENT VALUE RIGHTS AGREEMENT, dated as of [●], 2026 (this “</w:t>
      </w:r>
      <w:r>
        <w:rPr>
          <w:rFonts w:ascii="Times New Roman" w:hAnsi="Times New Roman"/>
          <w:color w:val="000000"/>
          <w:sz w:val="20"/>
          <w:u w:val="single"/>
        </w:rPr>
        <w:t>Agreement</w:t>
      </w:r>
      <w:r>
        <w:rPr>
          <w:rFonts w:ascii="Times New Roman" w:hAnsi="Times New Roman"/>
          <w:color w:val="000000"/>
          <w:sz w:val="20"/>
        </w:rPr>
        <w:t>”), is entered into by and among Eli Lilly and Company, an Indiana corporation (“</w:t>
      </w:r>
      <w:r>
        <w:rPr>
          <w:rFonts w:ascii="Times New Roman" w:hAnsi="Times New Roman"/>
          <w:color w:val="000000"/>
          <w:sz w:val="20"/>
          <w:u w:val="single"/>
        </w:rPr>
        <w:t>Parent</w:t>
      </w:r>
      <w:r>
        <w:rPr>
          <w:rFonts w:ascii="Times New Roman" w:hAnsi="Times New Roman"/>
          <w:color w:val="000000"/>
          <w:sz w:val="20"/>
        </w:rPr>
        <w:t>”), and [●], a [●], as Rights Agent (as defined herein).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Parent, Albali Acquisition Corporation, a Delaware corporation and indirect wholly owned subsidiary of Parent (“</w:t>
      </w:r>
      <w:r>
        <w:rPr>
          <w:rFonts w:ascii="Times New Roman" w:hAnsi="Times New Roman"/>
          <w:color w:val="000000"/>
          <w:sz w:val="20"/>
          <w:u w:val="single"/>
        </w:rPr>
        <w:t>Merger Sub</w:t>
      </w:r>
      <w:r>
        <w:rPr>
          <w:rFonts w:ascii="Times New Roman" w:hAnsi="Times New Roman"/>
          <w:color w:val="000000"/>
          <w:sz w:val="20"/>
        </w:rPr>
        <w:t>”), and AtaiBeckley Inc., a Delaware corporation (the “</w:t>
      </w:r>
      <w:r>
        <w:rPr>
          <w:rFonts w:ascii="Times New Roman" w:hAnsi="Times New Roman"/>
          <w:color w:val="000000"/>
          <w:sz w:val="20"/>
          <w:u w:val="single"/>
        </w:rPr>
        <w:t>Company</w:t>
      </w:r>
      <w:r>
        <w:rPr>
          <w:rFonts w:ascii="Times New Roman" w:hAnsi="Times New Roman"/>
          <w:color w:val="000000"/>
          <w:sz w:val="20"/>
        </w:rPr>
        <w:t>”), have entered into an Agreement and Plan of Merger, dated as of July 15, 2026 (as it may be amended, supplemented or otherwise modified from time to time pursuant to the terms thereof, the “</w:t>
      </w:r>
      <w:r>
        <w:rPr>
          <w:rFonts w:ascii="Times New Roman" w:hAnsi="Times New Roman"/>
          <w:color w:val="000000"/>
          <w:sz w:val="20"/>
          <w:u w:val="single"/>
        </w:rPr>
        <w:t>Merger Agreement</w:t>
      </w:r>
      <w:r>
        <w:rPr>
          <w:rFonts w:ascii="Times New Roman" w:hAnsi="Times New Roman"/>
          <w:color w:val="000000"/>
          <w:sz w:val="20"/>
        </w:rPr>
        <w:t>”), pursuant to which Merger Sub will merge with and into the Company (the “</w:t>
      </w:r>
      <w:r>
        <w:rPr>
          <w:rFonts w:ascii="Times New Roman" w:hAnsi="Times New Roman"/>
          <w:color w:val="000000"/>
          <w:sz w:val="20"/>
          <w:u w:val="single"/>
        </w:rPr>
        <w:t>Merger</w:t>
      </w:r>
      <w:r>
        <w:rPr>
          <w:rFonts w:ascii="Times New Roman" w:hAnsi="Times New Roman"/>
          <w:color w:val="000000"/>
          <w:sz w:val="20"/>
        </w:rPr>
        <w:t>”), with the Company surviving the Merger as a subsidiary of Parent;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an integral part of the consideration of the Merger, pursuant to and subject to the terms and conditions of the Merger Agreement, (a) holders of shares of common stock, par value $0.01 per share, of the Company (“</w:t>
      </w:r>
      <w:r>
        <w:rPr>
          <w:rFonts w:ascii="Times New Roman" w:hAnsi="Times New Roman"/>
          <w:color w:val="000000"/>
          <w:sz w:val="20"/>
          <w:u w:val="single"/>
        </w:rPr>
        <w:t>Company Common Stock</w:t>
      </w:r>
      <w:r>
        <w:rPr>
          <w:rFonts w:ascii="Times New Roman" w:hAnsi="Times New Roman"/>
          <w:color w:val="000000"/>
          <w:sz w:val="20"/>
        </w:rPr>
        <w:t xml:space="preserve">”) (other than any shares of Company Common Stock described in Section 2.1(b) of the Merger Agreement and Dissenting Shares), (b) holders of Company RSUs, (c) holders of Company Cash-Out Stock Options and (d) holders of Pre-Funded Warrants, in each case, as of immediately prior to the Effective Time (any such holders described in the immediately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the “</w:t>
      </w:r>
      <w:r>
        <w:rPr>
          <w:rFonts w:ascii="Times New Roman" w:hAnsi="Times New Roman"/>
          <w:color w:val="000000"/>
          <w:sz w:val="20"/>
          <w:u w:val="single"/>
        </w:rPr>
        <w:t>Initial Holders</w:t>
      </w:r>
      <w:r>
        <w:rPr>
          <w:rFonts w:ascii="Times New Roman" w:hAnsi="Times New Roman"/>
          <w:color w:val="000000"/>
          <w:sz w:val="20"/>
        </w:rPr>
        <w:t>”), will become entitled to receive (without interest) one (1) CVR, which shall represent the right to receive up to three contingent cash payments, each such payment being contingent upon, and subject to, the achievement of the applicable Milestone (as defined below) prior to the earlier of the applicable Milestone Expiration (as defined below) and Termination (as defined below), in all cases subject to and in accordance with the terms and conditions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consummation of the transactions referred to above, the parties agree, for the equal and proportionate benefit of all Holders (as defined herein),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DEFINITIONS; CERTAIN RULES OF CONSTRUCTION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Definitions</w:t>
      </w:r>
      <w:r>
        <w:rPr>
          <w:rFonts w:ascii="Times New Roman" w:hAnsi="Times New Roman"/>
          <w:color w:val="000000"/>
          <w:sz w:val="20"/>
        </w:rPr>
        <w:t>. Capitalized terms used but not defined herein shall have the meaning assigned to such terms in the Merger Agreement. As used in this Agreement, the following terms will have the following meanings: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Acting Holders</w:t>
      </w:r>
      <w:r>
        <w:rPr>
          <w:rFonts w:ascii="Times New Roman" w:hAnsi="Times New Roman"/>
          <w:color w:val="000000"/>
          <w:sz w:val="20"/>
        </w:rPr>
        <w:t>” means, at the time of determination, Holders of not less than twenty-five percent (25%) of outstanding CVRs as set forth in the CVR Register.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Agreement</w:t>
      </w:r>
      <w:r>
        <w:rPr>
          <w:rFonts w:ascii="Times New Roman" w:hAnsi="Times New Roman"/>
          <w:color w:val="000000"/>
          <w:sz w:val="20"/>
        </w:rPr>
        <w:t>” has the meaning set forth in the preamble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Assignee</w:t>
      </w:r>
      <w:r>
        <w:rPr>
          <w:rFonts w:ascii="Times New Roman" w:hAnsi="Times New Roman"/>
          <w:color w:val="000000"/>
          <w:sz w:val="20"/>
        </w:rPr>
        <w:t xml:space="preserve">” has the meaning set forth in </w:t>
      </w:r>
      <w:r>
        <w:rPr>
          <w:rFonts w:ascii="Times New Roman" w:hAnsi="Times New Roman"/>
          <w:color w:val="000000"/>
          <w:sz w:val="20"/>
          <w:u w:val="single"/>
        </w:rPr>
        <w:t>Section 6.3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Change of Control</w:t>
      </w:r>
      <w:r>
        <w:rPr>
          <w:rFonts w:ascii="Times New Roman" w:hAnsi="Times New Roman"/>
          <w:color w:val="000000"/>
          <w:sz w:val="20"/>
        </w:rPr>
        <w:t>” means (a) a sale or other disposition of all or substantially all of the assets of Parent on a consolidated basis (other than to any Subsidiary (direct or indirect) of Parent), (b) a merger or consolidation involving Parent in which Parent is not the surviving entity, and (c) any other transaction involving Parent in which Parent is the surviving or continuing entity but in which the stockholders of Parent immediately prior to such transaction (as stockholders of Parent) own less than fifty percent (50%) of Parent’s voting power immediately after the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Commercially Reasonable Efforts</w:t>
      </w:r>
      <w:r>
        <w:rPr>
          <w:rFonts w:ascii="Times New Roman" w:hAnsi="Times New Roman"/>
          <w:color w:val="000000"/>
          <w:sz w:val="20"/>
        </w:rPr>
        <w:t>” means that level of efforts and resources applied by Parent to carry out a particular task or obligation, consistent with the general practice followed by Parent in the relevant jurisdictions with respect to other pharmaceutical compounds, products, or therapies to which it has exclusive rights, which are of similar scientific and market potential at a similar stage of development or product life, taking into account (a) the prevalence and incidence of the applicable disease or condition, (b) issues of safety and efficacy, (c) product profile, (d) the expected probability of technical success of the applicable compound, product, or therapy, (e) the progress and outcome of development efforts with respect to such compound, product, or therapy, (f) other compounds, products or therapies owned by Parent, its Affiliates or Third Parties in development and in the marketplace (including other compounds, products and therapies that are being developed or commercialized by or on behalf of Parent or its Affiliates), (g) supply chain management considerations, (h) the proprietary position of the compound, product or therapy (including with respect to patent or regulatory exclusivity), (i) constraints on freedom-to-operate resulting from Intellectual Property rights of others, (j) the regulatory structure involved, (k) anticipated labeling to be approved by a Regulatory Authority, (l) the profitability of the applicable compound, product or therapy (including actual or anticipated pricing and reimbursement matters, and estimated profitability relative to profitability (calculated inclusive of the potential Milestone Payments) targets maintained by Parent), (m) the projected cost, and (n) other relevant technical, legal, strategic, commercial, regulatory, scientific or medical factors, in each case, without limiting Parent’s ability to allocate its resources in accordance with its development and commercial priorities. It is understood that Parent’s Commercially Reasonable Efforts shall not in any event require Parent to take any action that would cause Parent to breach any provision of this Agreement or that violates applicable Laws, and the use of Commercially Reasonable Efforts does not require Parent to act in a manner which would otherwise be contrary to Parent’s prudent business judgment in Parent’s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Common Stock</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CVRs</w:t>
      </w:r>
      <w:r>
        <w:rPr>
          <w:rFonts w:ascii="Times New Roman" w:hAnsi="Times New Roman"/>
          <w:color w:val="000000"/>
          <w:sz w:val="20"/>
        </w:rPr>
        <w:t>” means the rights of Holders hereunder (granted to Initial Holders as part of the consideration of the Merger pursuant to the terms of the Merger Agreement) to receive contingent cash payments on the terms and subject to the conditions of this Agreement and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CVR Product</w:t>
      </w:r>
      <w:r>
        <w:rPr>
          <w:rFonts w:ascii="Times New Roman" w:hAnsi="Times New Roman"/>
          <w:color w:val="000000"/>
          <w:sz w:val="20"/>
        </w:rPr>
        <w:t>” means each of the First CVR Product and the Second CVR Product, and either of them, separately.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CVR Register</w:t>
      </w:r>
      <w:r>
        <w:rPr>
          <w:rFonts w:ascii="Times New Roman" w:hAnsi="Times New Roman"/>
          <w:color w:val="000000"/>
          <w:sz w:val="20"/>
        </w:rPr>
        <w:t xml:space="preserve">” has the meaning set forth in </w:t>
      </w:r>
      <w:r>
        <w:rPr>
          <w:rFonts w:ascii="Times New Roman" w:hAnsi="Times New Roman"/>
          <w:color w:val="000000"/>
          <w:sz w:val="20"/>
          <w:u w:val="single"/>
        </w:rPr>
        <w:t>Section 2.3</w:t>
      </w:r>
      <w:r>
        <w:rPr>
          <w:rFonts w:ascii="Times New Roman" w:hAnsi="Times New Roman"/>
          <w:color w:val="000000"/>
          <w:sz w:val="20"/>
        </w:rPr>
        <w:t>(b).</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Depositary</w:t>
      </w:r>
      <w:r>
        <w:rPr>
          <w:rFonts w:ascii="Times New Roman" w:hAnsi="Times New Roman"/>
          <w:color w:val="000000"/>
          <w:sz w:val="20"/>
        </w:rPr>
        <w:t>” means [●], or any successor thereto appointed pursuant to the [Paying Agent Agreement, dated [●], 2026, by and among Parent and [●], as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DTC</w:t>
      </w:r>
      <w:r>
        <w:rPr>
          <w:rFonts w:ascii="Times New Roman" w:hAnsi="Times New Roman"/>
          <w:color w:val="000000"/>
          <w:sz w:val="20"/>
        </w:rPr>
        <w:t>” means The Depository Trust Company or any successor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Equity Award CVR</w:t>
      </w:r>
      <w:r>
        <w:rPr>
          <w:rFonts w:ascii="Times New Roman" w:hAnsi="Times New Roman"/>
          <w:color w:val="000000"/>
          <w:sz w:val="20"/>
        </w:rPr>
        <w:t>” means a CVR received by an Initial Holder in respect of Company Cash-Out Stock Options or Company RSUs.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Final Determination</w:t>
      </w:r>
      <w:r>
        <w:rPr>
          <w:rFonts w:ascii="Times New Roman" w:hAnsi="Times New Roman"/>
          <w:color w:val="000000"/>
          <w:sz w:val="20"/>
        </w:rPr>
        <w:t>” means with respect to (a) U.S. federal income Taxes, a “determination” within the meaning of Section 1313(a) of the Code or execution of an Internal Revenue Service Form 870-AD and (b) Taxes other than U.S.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First CVR Product</w:t>
      </w:r>
      <w:r>
        <w:rPr>
          <w:rFonts w:ascii="Times New Roman" w:hAnsi="Times New Roman"/>
          <w:color w:val="000000"/>
          <w:sz w:val="20"/>
        </w:rPr>
        <w:t>” means the pharmaceutical product candidate known as “VLS-01” controlled by the Company that consists of the Company’s investigational proprietary oral transmucosal film formulation of N,N-Dimethyltryptamine (DMT), as such pharmaceutical product candidate exists as of the date of this Agreement, together with any Insubstantial Changes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First Milestone</w:t>
      </w:r>
      <w:r>
        <w:rPr>
          <w:rFonts w:ascii="Times New Roman" w:hAnsi="Times New Roman"/>
          <w:color w:val="000000"/>
          <w:sz w:val="20"/>
        </w:rPr>
        <w:t>” means Initiation of a Phase 3 Clinical Trial for a First CVR Product for any Qualifying Indication (such Initiation, the “</w:t>
      </w:r>
      <w:r>
        <w:rPr>
          <w:rFonts w:ascii="Times New Roman" w:hAnsi="Times New Roman"/>
          <w:color w:val="000000"/>
          <w:sz w:val="20"/>
          <w:u w:val="single"/>
        </w:rPr>
        <w:t>VLS Initiation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First Milestone Expiration</w:t>
      </w:r>
      <w:r>
        <w:rPr>
          <w:rFonts w:ascii="Times New Roman" w:hAnsi="Times New Roman"/>
          <w:color w:val="000000"/>
          <w:sz w:val="20"/>
        </w:rPr>
        <w:t>” means the date that is the 4th anniversary of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First Milestone Payment</w:t>
      </w:r>
      <w:r>
        <w:rPr>
          <w:rFonts w:ascii="Times New Roman" w:hAnsi="Times New Roman"/>
          <w:color w:val="000000"/>
          <w:sz w:val="20"/>
        </w:rPr>
        <w:t>” means (a) if the First Milestone is achieved before both (i) First Milestone Expiration and (ii) Termination, with respect to each ((i)-(ii)), an amount equal to $1.00 minus any Milestone Offset Amount (if any, and to the extent not deducted from the Second Milestone Payment or the Third Milestone Payment), in cash, without interest, per CVR and (b) if the First Milestone is achieved at or after (i) First Milestone Expiration or (ii) Termination, with respect to each ((i)-(ii)), $0 per CVR. For the avoidance of doubt, the First Milestone Payment shall only be due once, if at all, subject to the achievement of the First Milestone prior to the earlier of First Milestone Expiration and 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Funds</w:t>
      </w:r>
      <w:r>
        <w:rPr>
          <w:rFonts w:ascii="Times New Roman" w:hAnsi="Times New Roman"/>
          <w:color w:val="000000"/>
          <w:sz w:val="20"/>
        </w:rPr>
        <w:t xml:space="preserve">” has the meaning set forth in </w:t>
      </w:r>
      <w:r>
        <w:rPr>
          <w:rFonts w:ascii="Times New Roman" w:hAnsi="Times New Roman"/>
          <w:color w:val="000000"/>
          <w:sz w:val="20"/>
          <w:u w:val="single"/>
        </w:rPr>
        <w:t>Section 2.6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GAD</w:t>
      </w:r>
      <w:r>
        <w:rPr>
          <w:rFonts w:ascii="Times New Roman" w:hAnsi="Times New Roman"/>
          <w:color w:val="000000"/>
          <w:sz w:val="20"/>
        </w:rPr>
        <w:t>” has the meaning set forth in the definition of Qualifying Indication.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Holder</w:t>
      </w:r>
      <w:r>
        <w:rPr>
          <w:rFonts w:ascii="Times New Roman" w:hAnsi="Times New Roman"/>
          <w:color w:val="000000"/>
          <w:sz w:val="20"/>
        </w:rPr>
        <w:t>” means a Person in whose name a CVR is registered in the CVR Register as of the applicable date and time of determination.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Initial Holders</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Initiation</w:t>
      </w:r>
      <w:r>
        <w:rPr>
          <w:rFonts w:ascii="Times New Roman" w:hAnsi="Times New Roman"/>
          <w:color w:val="000000"/>
          <w:sz w:val="20"/>
        </w:rPr>
        <w:t>” means, with respect to a clinical trial of a product, the first dosing of such product in the first patient in such clinical trial.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IRS</w:t>
      </w:r>
      <w:r>
        <w:rPr>
          <w:rFonts w:ascii="Times New Roman" w:hAnsi="Times New Roman"/>
          <w:color w:val="000000"/>
          <w:sz w:val="20"/>
        </w:rPr>
        <w:t>” means the Internal Revenue Service.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Insubstantial Change</w:t>
      </w:r>
      <w:r>
        <w:rPr>
          <w:rFonts w:ascii="Times New Roman" w:hAnsi="Times New Roman"/>
          <w:color w:val="000000"/>
          <w:sz w:val="20"/>
        </w:rPr>
        <w:t>” means, with respect to a given CVR Product, any modifications or improvements to such CVR Product that, individually or collectively: (1) constitute only minor or moderate changes generally consistent with how those terms are defined in 21 C.F.R. § 314.70(d) and 21 C.F.R. § 314.70(c), respectively, for post-approval changes; or (2) result in bioequivalence; provided, however, that such modification or improvement does not otherwise require or result in, or would not reasonably be expected to require or result in, the initiation of any additional clinical study (other than any pharmacokinetic study, bioequivalence study as described in 21 C.F.R. § 320.24(b)(1)-(3), or Human Factors Assessment) prior to Regulatory Approval for such CVR Product for the applicable Qualifying Indication.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MDD</w:t>
      </w:r>
      <w:r>
        <w:rPr>
          <w:rFonts w:ascii="Times New Roman" w:hAnsi="Times New Roman"/>
          <w:color w:val="000000"/>
          <w:sz w:val="20"/>
        </w:rPr>
        <w:t>” has the meaning set forth in the definition of Qualifying Indication.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Merger</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Merger Sub</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Merger Agreement</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w:t>
      </w:r>
      <w:r>
        <w:rPr>
          <w:rFonts w:ascii="Times New Roman" w:hAnsi="Times New Roman"/>
          <w:color w:val="000000"/>
          <w:sz w:val="20"/>
        </w:rPr>
        <w:t>” means each of the First Milestone, the Second Milestone, and the Third Milestone, and any of them, separately.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Expiration</w:t>
      </w:r>
      <w:r>
        <w:rPr>
          <w:rFonts w:ascii="Times New Roman" w:hAnsi="Times New Roman"/>
          <w:color w:val="000000"/>
          <w:sz w:val="20"/>
        </w:rPr>
        <w:t>” means (a) with respect to the First Milestone, the First Milestone Expiration, (b) with respect to the Second Milestone, the Second Milestone Expiration, and (c) with respect to the Third Milestone, the Third Milestone Expiration.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2.4</w:t>
      </w:r>
      <w:r>
        <w:rPr>
          <w:rFonts w:ascii="Times New Roman" w:hAnsi="Times New Roman"/>
          <w:color w:val="000000"/>
          <w:sz w:val="20"/>
        </w:rPr>
        <w:t>(a).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Offset Amount</w:t>
      </w:r>
      <w:r>
        <w:rPr>
          <w:rFonts w:ascii="Times New Roman" w:hAnsi="Times New Roman"/>
          <w:color w:val="000000"/>
          <w:sz w:val="20"/>
        </w:rPr>
        <w:t xml:space="preserve">” means an amount equal to (a) fifty percent (50%) of any payments that Parent or any of its Affiliates or their respective successors or permitted assigns makes or is obligated to make to a Third Party to the extent allocable to an applicable CVR Product in exchange for any license to, or other right to use or practice, any Necessary IP, solely to the extent that such Necessary IP actually covers the exploitation of such CVR Product, </w:t>
      </w:r>
      <w:r>
        <w:rPr>
          <w:rFonts w:ascii="Times New Roman" w:hAnsi="Times New Roman"/>
          <w:color w:val="000000"/>
          <w:sz w:val="20"/>
          <w:u w:val="single"/>
        </w:rPr>
        <w:t>divided by</w:t>
      </w:r>
      <w:r>
        <w:rPr>
          <w:rFonts w:ascii="Times New Roman" w:hAnsi="Times New Roman"/>
          <w:color w:val="000000"/>
          <w:sz w:val="20"/>
        </w:rPr>
        <w:t xml:space="preserve"> (b) the total number of CVRs held by all Holders as reflected on the CVR Register as of the close of business on the date of the Milestone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w:t>
      </w:r>
      <w:r>
        <w:rPr>
          <w:rFonts w:ascii="Times New Roman" w:hAnsi="Times New Roman"/>
          <w:color w:val="000000"/>
          <w:sz w:val="20"/>
        </w:rPr>
        <w:t>” means (a) with respect to the First Milestone, the First Milestone Payment, (b) with respect to the Second Milestone, the Second Milestone Payment, and (c) with respect to the Third Milestone, the Third Milestone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 Amount</w:t>
      </w:r>
      <w:r>
        <w:rPr>
          <w:rFonts w:ascii="Times New Roman" w:hAnsi="Times New Roman"/>
          <w:color w:val="000000"/>
          <w:sz w:val="20"/>
        </w:rPr>
        <w:t>” means, for a given Holder, the product of (a) the applicable Milestone Payment and (b) the number of CVRs held by such Holder as reflected on the CVR Register as of the close of business on the date of the applicable Milestone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 Date</w:t>
      </w:r>
      <w:r>
        <w:rPr>
          <w:rFonts w:ascii="Times New Roman" w:hAnsi="Times New Roman"/>
          <w:color w:val="000000"/>
          <w:sz w:val="20"/>
        </w:rPr>
        <w:t xml:space="preserve">” has the meaning set forth in </w:t>
      </w:r>
      <w:r>
        <w:rPr>
          <w:rFonts w:ascii="Times New Roman" w:hAnsi="Times New Roman"/>
          <w:color w:val="000000"/>
          <w:sz w:val="20"/>
          <w:u w:val="single"/>
        </w:rPr>
        <w:t>Section 2.4</w:t>
      </w:r>
      <w:r>
        <w:rPr>
          <w:rFonts w:ascii="Times New Roman" w:hAnsi="Times New Roman"/>
          <w:color w:val="000000"/>
          <w:sz w:val="20"/>
        </w:rPr>
        <w:t>(a).</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Necessary IP</w:t>
      </w:r>
      <w:r>
        <w:rPr>
          <w:rFonts w:ascii="Times New Roman" w:hAnsi="Times New Roman"/>
          <w:color w:val="000000"/>
          <w:sz w:val="20"/>
        </w:rPr>
        <w:t>” means any Patent that (a) after the date hereof, is subsequently licensed by the Company, Parent or any of their respective controlled Affiliates, or to which the Company, Parent or any of their respective controlled Affiliates otherwise first receive a right to use or practice, and (b) the Company, Parent or any of their respective controlled Affiliates reasonably believe is necessary for the research, development, manufacturing, commercialization, marketing, promotion, distribution, importing, exporting, offering for sale or other exploitation of a CVR Product.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Officer’s Certificate</w:t>
      </w:r>
      <w:r>
        <w:rPr>
          <w:rFonts w:ascii="Times New Roman" w:hAnsi="Times New Roman"/>
          <w:color w:val="000000"/>
          <w:sz w:val="20"/>
        </w:rPr>
        <w:t>” means a certificate signed by an authorized officer of Parent, in his or her capacity as such an officer, and delivered to the Rights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Parent</w:t>
      </w:r>
      <w:r>
        <w:rPr>
          <w:rFonts w:ascii="Times New Roman" w:hAnsi="Times New Roman"/>
          <w:color w:val="000000"/>
          <w:sz w:val="20"/>
        </w:rPr>
        <w:t>” has the meaning set forth in the preamble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CVR Transfer</w:t>
      </w:r>
      <w:r>
        <w:rPr>
          <w:rFonts w:ascii="Times New Roman" w:hAnsi="Times New Roman"/>
          <w:color w:val="000000"/>
          <w:sz w:val="20"/>
        </w:rPr>
        <w:t xml:space="preserve">” means a transfer of CVRs: (a) by will or intestacy upon death of a Holder; (b) by instrument to an </w:t>
      </w:r>
      <w:r>
        <w:rPr>
          <w:rFonts w:ascii="Times New Roman" w:hAnsi="Times New Roman"/>
          <w:i/>
          <w:color w:val="000000"/>
          <w:sz w:val="20"/>
        </w:rPr>
        <w:t>inter vivos</w:t>
      </w:r>
      <w:r>
        <w:rPr>
          <w:rFonts w:ascii="Times New Roman" w:hAnsi="Times New Roman"/>
          <w:color w:val="000000"/>
          <w:sz w:val="20"/>
        </w:rPr>
        <w:t xml:space="preserve"> or testamentary trust in which the CVRs are to be passed to beneficiaries upon the death of the settlor; (c) pursuant to a court order; (d) by operation of law (including by consolidation or merger of the Holder) or if effectuated without consideration in connection with the dissolution, liquidation or termination of any Holder that is a corporation, limited liability company, partnership or other entity; (e) in the case of CVRs held in book-entry or other similar nominee form, from a nominee to a beneficial owner, and if applicable, through an intermediary; (f) if the Holder is a partnership or limited liability company, a distribution by the transferring partnership or limited liability company to its partners or members, as applicable (</w:t>
      </w:r>
      <w:r>
        <w:rPr>
          <w:rFonts w:ascii="Times New Roman" w:hAnsi="Times New Roman"/>
          <w:color w:val="000000"/>
          <w:sz w:val="20"/>
          <w:u w:val="single"/>
        </w:rPr>
        <w:t>provided</w:t>
      </w:r>
      <w:r>
        <w:rPr>
          <w:rFonts w:ascii="Times New Roman" w:hAnsi="Times New Roman"/>
          <w:color w:val="000000"/>
          <w:sz w:val="20"/>
        </w:rPr>
        <w:t xml:space="preserve"> that such distribution does not subject the CVRs to a requirement of registration under the Securities Act of 1933, as amended, or the Securities Exchange Act of 1934, as amended); or (g) as provided in </w:t>
      </w:r>
      <w:r>
        <w:rPr>
          <w:rFonts w:ascii="Times New Roman" w:hAnsi="Times New Roman"/>
          <w:color w:val="000000"/>
          <w:sz w:val="20"/>
          <w:u w:val="single"/>
        </w:rPr>
        <w:t>Section 2.7</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Phase 3 Clinical Trial</w:t>
      </w:r>
      <w:r>
        <w:rPr>
          <w:rFonts w:ascii="Times New Roman" w:hAnsi="Times New Roman"/>
          <w:color w:val="000000"/>
          <w:sz w:val="20"/>
        </w:rPr>
        <w:t>” means a human clinical trial of a product that is designed to demonstrate that such product is safe and effective for an indication and is intended to form the basis for Regulatory Approval by the FDA or equivalent Regulatory Authority and that meets the definition of a Phase 3 clinical trial as described in 21 C.F.R. § 312.21(c), or its successor regulation thereto or foreign equivalents.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Qualifying Indication</w:t>
      </w:r>
      <w:r>
        <w:rPr>
          <w:rFonts w:ascii="Times New Roman" w:hAnsi="Times New Roman"/>
          <w:color w:val="000000"/>
          <w:sz w:val="20"/>
        </w:rPr>
        <w:t>” means an indication for the treatment of major depressive disorder (“</w:t>
      </w:r>
      <w:r>
        <w:rPr>
          <w:rFonts w:ascii="Times New Roman" w:hAnsi="Times New Roman"/>
          <w:color w:val="000000"/>
          <w:sz w:val="20"/>
          <w:u w:val="single"/>
        </w:rPr>
        <w:t>MDD</w:t>
      </w:r>
      <w:r>
        <w:rPr>
          <w:rFonts w:ascii="Times New Roman" w:hAnsi="Times New Roman"/>
          <w:color w:val="000000"/>
          <w:sz w:val="20"/>
        </w:rPr>
        <w:t>”), treatment-resistant depression (“</w:t>
      </w:r>
      <w:r>
        <w:rPr>
          <w:rFonts w:ascii="Times New Roman" w:hAnsi="Times New Roman"/>
          <w:color w:val="000000"/>
          <w:sz w:val="20"/>
          <w:u w:val="single"/>
        </w:rPr>
        <w:t>TRD</w:t>
      </w:r>
      <w:r>
        <w:rPr>
          <w:rFonts w:ascii="Times New Roman" w:hAnsi="Times New Roman"/>
          <w:color w:val="000000"/>
          <w:sz w:val="20"/>
        </w:rPr>
        <w:t>”) or generalized anxiety disorder (“</w:t>
      </w:r>
      <w:r>
        <w:rPr>
          <w:rFonts w:ascii="Times New Roman" w:hAnsi="Times New Roman"/>
          <w:color w:val="000000"/>
          <w:sz w:val="20"/>
          <w:u w:val="single"/>
        </w:rPr>
        <w:t>GAD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Regulatory Approval</w:t>
      </w:r>
      <w:r>
        <w:rPr>
          <w:rFonts w:ascii="Times New Roman" w:hAnsi="Times New Roman"/>
          <w:color w:val="000000"/>
          <w:sz w:val="20"/>
        </w:rPr>
        <w:t>” means, with respect to a particular country or other regulatory jurisdiction, the approvals from the necessary Regulatory Authority to import, export, market, promote, distribute, and sell a pharmaceutical or biologic product in such country or region, including pricing approvals and reimbursement approvals that are necessary for the commercial sale of a pharmaceutical or biologic product in a given country or regulatory jurisdiction. For clarity, in the United States, Regulatory Approval includes any approval of a Biologics License Application (as defined in 42 U.S.C. § 262) or New Drug Application (as defined in 21 CFR 314.50, et seq.).</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Regulatory Authority</w:t>
      </w:r>
      <w:r>
        <w:rPr>
          <w:rFonts w:ascii="Times New Roman" w:hAnsi="Times New Roman"/>
          <w:color w:val="000000"/>
          <w:sz w:val="20"/>
        </w:rPr>
        <w:t>” means any Governmental Body in any country or jurisdiction (including the United States) that has responsibility over research, development, manufacture, commercialization or other exploitation of biological or pharmaceutical products in such country or jurisdiction. Regulatory Authority includes the FDA and any Governmental Body in any country or jurisdiction whose review or approval of pricing or reimbursement of such products is required.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Rights Agent</w:t>
      </w:r>
      <w:r>
        <w:rPr>
          <w:rFonts w:ascii="Times New Roman" w:hAnsi="Times New Roman"/>
          <w:color w:val="000000"/>
          <w:sz w:val="20"/>
        </w:rPr>
        <w:t>” means the Rights Agent named in the preamble of this Agreement, until a successor Rights Agent is appointed pursuant to the applicable provisions of this Agreement, and thereafter “Rights Agent” will mean such successor Rights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Rights Agent Account</w:t>
      </w:r>
      <w:r>
        <w:rPr>
          <w:rFonts w:ascii="Times New Roman" w:hAnsi="Times New Roman"/>
          <w:color w:val="000000"/>
          <w:sz w:val="20"/>
        </w:rPr>
        <w:t xml:space="preserve">” has the meaning set forth in </w:t>
      </w:r>
      <w:r>
        <w:rPr>
          <w:rFonts w:ascii="Times New Roman" w:hAnsi="Times New Roman"/>
          <w:color w:val="000000"/>
          <w:sz w:val="20"/>
          <w:u w:val="single"/>
        </w:rPr>
        <w:t>Section 2.4</w:t>
      </w:r>
      <w:r>
        <w:rPr>
          <w:rFonts w:ascii="Times New Roman" w:hAnsi="Times New Roman"/>
          <w:color w:val="000000"/>
          <w:sz w:val="20"/>
        </w:rPr>
        <w:t>(a).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Second CVR Product</w:t>
      </w:r>
      <w:r>
        <w:rPr>
          <w:rFonts w:ascii="Times New Roman" w:hAnsi="Times New Roman"/>
          <w:color w:val="000000"/>
          <w:sz w:val="20"/>
        </w:rPr>
        <w:t>” means the pharmaceutical product candidate known as “BPL-003” controlled by the Company that consists of the Company’s investigational proprietary intranasal formulation of mebufotenin benzoate, as such pharmaceutical product candidate exists as of the date of this Agreement, together with any Insubstantial Changes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Second Milestone</w:t>
      </w:r>
      <w:r>
        <w:rPr>
          <w:rFonts w:ascii="Times New Roman" w:hAnsi="Times New Roman"/>
          <w:color w:val="000000"/>
          <w:sz w:val="20"/>
        </w:rPr>
        <w:t>” means (a) the receipt of the first Regulatory Approval in the United States for a Second CVR Product for any Qualifying Indication (the “</w:t>
      </w:r>
      <w:r>
        <w:rPr>
          <w:rFonts w:ascii="Times New Roman" w:hAnsi="Times New Roman"/>
          <w:color w:val="000000"/>
          <w:sz w:val="20"/>
          <w:u w:val="single"/>
        </w:rPr>
        <w:t>BPL Approval</w:t>
      </w:r>
      <w:r>
        <w:rPr>
          <w:rFonts w:ascii="Times New Roman" w:hAnsi="Times New Roman"/>
          <w:color w:val="000000"/>
          <w:sz w:val="20"/>
        </w:rPr>
        <w:t>”) and (b) the issuance of an interim final rule, final rule, order or other similar agency determination by the U.S. Drug Enforcement Agency (the “</w:t>
      </w:r>
      <w:r>
        <w:rPr>
          <w:rFonts w:ascii="Times New Roman" w:hAnsi="Times New Roman"/>
          <w:color w:val="000000"/>
          <w:sz w:val="20"/>
          <w:u w:val="single"/>
        </w:rPr>
        <w:t>DEA</w:t>
      </w:r>
      <w:r>
        <w:rPr>
          <w:rFonts w:ascii="Times New Roman" w:hAnsi="Times New Roman"/>
          <w:color w:val="000000"/>
          <w:sz w:val="20"/>
        </w:rPr>
        <w:t>”) having the effect of rescheduling FDA-approved mebufotenin benzoate nasal spray from schedule I to schedules II, III, IV or V (the “B</w:t>
      </w:r>
      <w:r>
        <w:rPr>
          <w:rFonts w:ascii="Times New Roman" w:hAnsi="Times New Roman"/>
          <w:color w:val="000000"/>
          <w:sz w:val="20"/>
          <w:u w:val="single"/>
        </w:rPr>
        <w:t>PL Scheduling</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for clarity, that the BPL Scheduling enables the prescribing of such FDA-approved Second CVR Product as a schedule II, III, IV, or V product.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Second Milestone Expiration</w:t>
      </w:r>
      <w:r>
        <w:rPr>
          <w:rFonts w:ascii="Times New Roman" w:hAnsi="Times New Roman"/>
          <w:color w:val="000000"/>
          <w:sz w:val="20"/>
        </w:rPr>
        <w:t>” means the date that is the 5th anniversary of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Second Milestone Payment</w:t>
      </w:r>
      <w:r>
        <w:rPr>
          <w:rFonts w:ascii="Times New Roman" w:hAnsi="Times New Roman"/>
          <w:color w:val="000000"/>
          <w:sz w:val="20"/>
        </w:rPr>
        <w:t>” means (a) if the Second Milestone is achieved before both (i) Second Milestone Expiration and (ii) Termination, with respect to each ((i)-(ii)), an amount equal to $0.50 minus any Milestone Offset Amount (if any, and to the extent not deducted from the First Milestone Payment or the Third Milestone Payment), in cash, without interest, per CVR and (b) if the Second Milestone is achieved at or after (i) Second Milestone Expiration or (ii) Termination, with respect to each ((i)-(ii)), $0 per CVR. For the avoidance of doubt, the Second Milestone Payment shall only be due once, if at all, subject to the achievement of the Second Milestone prior to the earlier of Second Milestone Expiration and 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Termination</w:t>
      </w:r>
      <w:r>
        <w:rPr>
          <w:rFonts w:ascii="Times New Roman" w:hAnsi="Times New Roman"/>
          <w:color w:val="000000"/>
          <w:sz w:val="20"/>
        </w:rPr>
        <w:t xml:space="preserve">” has the meaning set forth in </w:t>
      </w:r>
      <w:r>
        <w:rPr>
          <w:rFonts w:ascii="Times New Roman" w:hAnsi="Times New Roman"/>
          <w:color w:val="000000"/>
          <w:sz w:val="20"/>
          <w:u w:val="single"/>
        </w:rPr>
        <w:t>Section 6.8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Third Milestone</w:t>
      </w:r>
      <w:r>
        <w:rPr>
          <w:rFonts w:ascii="Times New Roman" w:hAnsi="Times New Roman"/>
          <w:color w:val="000000"/>
          <w:sz w:val="20"/>
        </w:rPr>
        <w:t>” means (a) the receipt of the first Regulatory Approval in the United States for a First CVR Product for any Qualifying Indication (the “</w:t>
      </w:r>
      <w:r>
        <w:rPr>
          <w:rFonts w:ascii="Times New Roman" w:hAnsi="Times New Roman"/>
          <w:color w:val="000000"/>
          <w:sz w:val="20"/>
          <w:u w:val="single"/>
        </w:rPr>
        <w:t>VLS Approval</w:t>
      </w:r>
      <w:r>
        <w:rPr>
          <w:rFonts w:ascii="Times New Roman" w:hAnsi="Times New Roman"/>
          <w:color w:val="000000"/>
          <w:sz w:val="20"/>
        </w:rPr>
        <w:t>”) and (b) the issuance of an interim final rule, final rule, order, or other similar agency determination by the DEA rescheduling FDA-approved N,N-Dimethyltryptamine (DMT) from schedule I to schedule II, III, IV or V (the “</w:t>
      </w:r>
      <w:r>
        <w:rPr>
          <w:rFonts w:ascii="Times New Roman" w:hAnsi="Times New Roman"/>
          <w:color w:val="000000"/>
          <w:sz w:val="20"/>
          <w:u w:val="single"/>
        </w:rPr>
        <w:t>VLS Scheduling</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for clarity, that the VLS Scheduling enables the prescribing of such FDA-approved First CVR Product as a schedule II, III, IV, or V product.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Third Milestone Expiration</w:t>
      </w:r>
      <w:r>
        <w:rPr>
          <w:rFonts w:ascii="Times New Roman" w:hAnsi="Times New Roman"/>
          <w:color w:val="000000"/>
          <w:sz w:val="20"/>
        </w:rPr>
        <w:t>” means the date that is the 7th anniversary of the Closing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Third Milestone Payment</w:t>
      </w:r>
      <w:r>
        <w:rPr>
          <w:rFonts w:ascii="Times New Roman" w:hAnsi="Times New Roman"/>
          <w:color w:val="000000"/>
          <w:sz w:val="20"/>
        </w:rPr>
        <w:t>” means (a) if the Third Milestone is achieved before both (i) Third Milestone Expiration and (ii) Termination, with respect to each ((i)-(ii)), an amount equal to $1.00 minus any Milestone Offset Amount (if any, and to the extent not deducted from the First Milestone Payment or the Second Milestone Payment) in cash, without interest, per CVR and (b) if the Third Milestone is achieved at or after (i) Third Milestone Expiration or (ii) Termination, with respect to each ((i)-(ii)), $0 per CVR. For the avoidance of doubt, the Third Milestone Payment shall only be due once, if at all, subject to the achievement of the Third Milestone prior to the earlier of Third Milestone Expiration and 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Third Party</w:t>
      </w:r>
      <w:r>
        <w:rPr>
          <w:rFonts w:ascii="Times New Roman" w:hAnsi="Times New Roman"/>
          <w:color w:val="000000"/>
          <w:sz w:val="20"/>
        </w:rPr>
        <w:t>” means any Person other than the Company, Parent, Merger Sub, or any of their respective controlled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TRD</w:t>
      </w:r>
      <w:r>
        <w:rPr>
          <w:rFonts w:ascii="Times New Roman" w:hAnsi="Times New Roman"/>
          <w:color w:val="000000"/>
          <w:sz w:val="20"/>
        </w:rPr>
        <w:t>” has the meaning set forth in the definition of Qualifying Indication.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VLS Indication Exclusion</w:t>
      </w:r>
      <w:r>
        <w:rPr>
          <w:rFonts w:ascii="Times New Roman" w:hAnsi="Times New Roman"/>
          <w:color w:val="000000"/>
          <w:sz w:val="20"/>
        </w:rPr>
        <w:t>” has the meaning set forth in Section 4.3(a)(i).</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VLS Replacement Indication</w:t>
      </w:r>
      <w:r>
        <w:rPr>
          <w:rFonts w:ascii="Times New Roman" w:hAnsi="Times New Roman"/>
          <w:color w:val="000000"/>
          <w:sz w:val="20"/>
        </w:rPr>
        <w:t xml:space="preserve">” </w:t>
      </w:r>
      <w:r>
        <w:rPr>
          <w:rFonts w:ascii="Times New Roman" w:hAnsi="Times New Roman"/>
          <w:color w:val="000000"/>
          <w:sz w:val="20"/>
          <w:u w:val="single"/>
        </w:rPr>
        <w:t xml:space="preserve">has the meaning set forth in </w:t>
      </w:r>
      <w:r>
        <w:rPr>
          <w:rFonts w:ascii="Times New Roman" w:hAnsi="Times New Roman"/>
          <w:color w:val="000000"/>
          <w:sz w:val="20"/>
        </w:rPr>
        <w:t>Section 4.3(a)(i).</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1.2.          </w:t>
      </w:r>
      <w:r>
        <w:rPr>
          <w:rFonts w:ascii="Times New Roman" w:hAnsi="Times New Roman"/>
          <w:color w:val="000000"/>
          <w:sz w:val="20"/>
          <w:u w:val="single"/>
        </w:rPr>
        <w:t>Rules of Construction</w:t>
      </w:r>
      <w:r>
        <w:rPr>
          <w:rFonts w:ascii="Times New Roman" w:hAnsi="Times New Roman"/>
          <w:color w:val="000000"/>
          <w:sz w:val="20"/>
        </w:rPr>
        <w:t>. When reference is made in this Agreement to an Article, Section or Exhibit, such reference will refer to Articles and Sections of, and Exhibits to, this Agreement unless otherwise indicated. The word “extent” in the phrase “to the extent” shall mean the degree to which a subject or other thing extends, and such phrase shall not mean simply “if.” All references to “dollars” or “$” shall refer to the lawful currency of the United States.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The word “will” shall be construed to have the same meaning and effect as the word “shall.” Whenever used in this Agreement, any noun or pronoun will be deemed to include the plural as well as the singular and to cover all genders. Any reference to any Person shall be construed to include such Person’s successors and assigns. The words “ordinary course of business” shall mean the ordinary course of business consistent with past practice. This Agreement will be construed without regard to any presumption or rule requiring construction or interpretation against the party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of burden of proof shall arise favoring or disfavoring any party by virtue of the authorship of this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CONTINGENT VALUE RIGHTS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         </w:t>
      </w:r>
      <w:r>
        <w:rPr>
          <w:rFonts w:ascii="Times New Roman" w:hAnsi="Times New Roman"/>
          <w:color w:val="000000"/>
          <w:sz w:val="20"/>
          <w:u w:val="single"/>
        </w:rPr>
        <w:t>CVRs</w:t>
      </w:r>
      <w:r>
        <w:rPr>
          <w:rFonts w:ascii="Times New Roman" w:hAnsi="Times New Roman"/>
          <w:color w:val="000000"/>
          <w:sz w:val="20"/>
        </w:rPr>
        <w:t>. Each CVR represents the contractual right of a Holder (granted to each Initial Holder as part of the consideration of the Merger pursuant to the terms of the Merger Agreement) to receive the Milestone Payments pursuant to, and subject to the terms and conditions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2.2.         </w:t>
      </w:r>
      <w:r>
        <w:rPr>
          <w:rFonts w:ascii="Times New Roman" w:hAnsi="Times New Roman"/>
          <w:color w:val="000000"/>
          <w:sz w:val="20"/>
          <w:u w:val="single"/>
        </w:rPr>
        <w:t>Nontransferable</w:t>
      </w:r>
      <w:r>
        <w:rPr>
          <w:rFonts w:ascii="Times New Roman" w:hAnsi="Times New Roman"/>
          <w:color w:val="000000"/>
          <w:sz w:val="20"/>
        </w:rPr>
        <w:t>. The CVRs shall not be sold, assigned, transferred, pledged, encumbered or in any other manner transferred or disposed of, in whole or in part, other than through a Permitted CVR Transfer; the foregoing restrictions shall apply notwithstanding that certain of the CVRs will be held through DTC. Any attempted sale, assignment, transfer, pledge, encumbrance or disposition of CVRs, in whole or in part, in violation of this Section 2.2 shall be void ab initio and of no effect. The CVRs will not be listed on any quotation system or traded on any securities exchange.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2.3.         </w:t>
      </w:r>
      <w:r>
        <w:rPr>
          <w:rFonts w:ascii="Times New Roman" w:hAnsi="Times New Roman"/>
          <w:color w:val="000000"/>
          <w:sz w:val="20"/>
          <w:u w:val="single"/>
        </w:rPr>
        <w:t>No Certificate; Registration; Registration of Transfer; Change of Address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CVRs will not be evidenced by a certificate or other instrument.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Subject to the receipt by the Rights Agent of the information and instructions described in Section 4.1, the Rights Agent will create and maintain a register (the “</w:t>
      </w:r>
      <w:r>
        <w:rPr>
          <w:rFonts w:ascii="Times New Roman" w:hAnsi="Times New Roman"/>
          <w:color w:val="000000"/>
          <w:sz w:val="20"/>
          <w:u w:val="single"/>
        </w:rPr>
        <w:t>CVR Register</w:t>
      </w:r>
      <w:r>
        <w:rPr>
          <w:rFonts w:ascii="Times New Roman" w:hAnsi="Times New Roman"/>
          <w:color w:val="000000"/>
          <w:sz w:val="20"/>
        </w:rPr>
        <w:t xml:space="preserve">”) for the purpose of (i) identifying the Holders of CVRs and (ii) registering CVRs in book-entry position and Permitted CVR Transfers thereof. The CVR Register shall set forth (x) with respect to holders of Company Common Stock that hold such shares in book-entry form through DTC immediately prior to the Effective Time, one (1) position for Cede &amp; Co. (as nominee of DTC) representing all such shares of Company Common Stock that were converted into the right to receive the Merger Consideration as a consequence of the Merger in accordance with the terms of the Merger Agreement, and (y) with respect to (A) holders of shares of Company Common Stock that hold such shares in certificated form immediately prior to the Effective Time that were converted into the right to receive the Merger Consideration as a consequence of the Merger in accordance with the terms of the Merger Agreement, upon delivery to the Depositary by each such holder of the applicable stock certificates, together with a validly executed letter of transmittal and such other customary documents as may be reasonably requested by the Depositary, in accordance with the Merger Agreement, (B) holders of shares of Company Common Stock that hold such shares in book-entry form through the Company’s transfer agent immediately prior to Effective Time, (C) holders of Company RSUs, (D) holders of Company Cash-Out Stock Options and (E) holders of Pre-Funded Warrants, in each case of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(E)</w:t>
      </w:r>
      <w:r>
        <w:rPr>
          <w:rFonts w:ascii="Times New Roman" w:hAnsi="Times New Roman"/>
          <w:color w:val="000000"/>
          <w:sz w:val="20"/>
        </w:rPr>
        <w:t>, the applicable number of CVRs to which each such holder is entitled pursuant to the Merger Agreement (other than, in the case of the foregoing clauses (x), (y)(A) and (y)(B), those who have perfected their appraisal rights in accordance with Section 262 of the General Corporation Law of the State of Delaware). The CVR Register will be updated as necessary by the Rights Agent to reflect the addition or removal of Holders (pursuant to any Permitted Transfers), upon the written receipt of such information by the Rights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Subject to the restrictions on transferability set forth in </w:t>
      </w:r>
      <w:r>
        <w:rPr>
          <w:rFonts w:ascii="Times New Roman" w:hAnsi="Times New Roman"/>
          <w:color w:val="000000"/>
          <w:sz w:val="20"/>
          <w:u w:val="single"/>
        </w:rPr>
        <w:t>Section 2.2</w:t>
      </w:r>
      <w:r>
        <w:rPr>
          <w:rFonts w:ascii="Times New Roman" w:hAnsi="Times New Roman"/>
          <w:color w:val="000000"/>
          <w:sz w:val="20"/>
        </w:rPr>
        <w:t xml:space="preserve">, every request made to transfer a CVR must be in writing and accompanied by such documentation as may be requested by the Rights Agent and a written instrument of transfer, in form reasonably satisfactory to the Rights Agent pursuant to its customary policies and guidelines, which may include a guaranty of signature by an “eligible guarantor institution” that is a member or participant in the Securities Transfer Medallion Program, duly executed by the Holder thereof, the Holder’s attorney duly authorized in writing, the Holder’s personal representative duly authorized in writing, or the Holder’s survivor (with written documentation evidencing such person’s status as the Holder’s survivor), as applicable, and setting forth in reasonable detail the circumstances relating to the requested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hAnsi="Times New Roman"/>
          <w:color w:val="000000"/>
          <w:sz w:val="20"/>
          <w:u w:val="single"/>
        </w:rPr>
        <w:t>Section 2.2</w:t>
      </w:r>
      <w:r>
        <w:rPr>
          <w:rFonts w:ascii="Times New Roman" w:hAnsi="Times New Roman"/>
          <w:color w:val="000000"/>
          <w:sz w:val="20"/>
        </w:rPr>
        <w:t xml:space="preserve">), register the transfer of the CVRs in the CVR Register. As a condition of such transfer, Parent and the Rights Agent may require a transferring Holder or its transferee to pay to the applicable Governmental Body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such applicable Taxes or charges unless and until the Rights Agent is reasonably satisfied that all such Taxes or charges have been paid or that such Taxes or charges are not applicable. All CVRs duly transferred in accordance with </w:t>
      </w:r>
      <w:r>
        <w:rPr>
          <w:rFonts w:ascii="Times New Roman" w:hAnsi="Times New Roman"/>
          <w:color w:val="000000"/>
          <w:sz w:val="20"/>
          <w:u w:val="single"/>
        </w:rPr>
        <w:t>Section 2.2</w:t>
      </w:r>
      <w:r>
        <w:rPr>
          <w:rFonts w:ascii="Times New Roman" w:hAnsi="Times New Roman"/>
          <w:color w:val="000000"/>
          <w:sz w:val="20"/>
        </w:rPr>
        <w:t xml:space="preserve"> that are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 in accordance with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A Holder may make a written request to the Rights Agent to change such Holder’s address of record in the CVR Register. The written request must be duly executed by the Holder. Upon receipt of such written notice, the Rights Agent will, as soon as practicable, record the change of address in the CVR Register.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2.4.         </w:t>
      </w:r>
      <w:r>
        <w:rPr>
          <w:rFonts w:ascii="Times New Roman" w:hAnsi="Times New Roman"/>
          <w:color w:val="000000"/>
          <w:sz w:val="20"/>
          <w:u w:val="single"/>
        </w:rPr>
        <w:t>Payment Procedures; Notices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If a Milestone is achieved prior to both the applicable Milestone Expiration and Termination, then on or prior to the date that is twenty (20) Business Days following the achievement of such Milestone (such date, the “</w:t>
      </w:r>
      <w:r>
        <w:rPr>
          <w:rFonts w:ascii="Times New Roman" w:hAnsi="Times New Roman"/>
          <w:color w:val="000000"/>
          <w:sz w:val="20"/>
          <w:u w:val="single"/>
        </w:rPr>
        <w:t>Milestone Payment Date</w:t>
      </w:r>
      <w:r>
        <w:rPr>
          <w:rFonts w:ascii="Times New Roman" w:hAnsi="Times New Roman"/>
          <w:color w:val="000000"/>
          <w:sz w:val="20"/>
        </w:rPr>
        <w:t>”), (A) Parent shall deliver to the Rights Agent (x) a written notice indicating that such Milestone has been achieved (the “</w:t>
      </w:r>
      <w:r>
        <w:rPr>
          <w:rFonts w:ascii="Times New Roman" w:hAnsi="Times New Roman"/>
          <w:color w:val="000000"/>
          <w:sz w:val="20"/>
          <w:u w:val="single"/>
        </w:rPr>
        <w:t>Milestone Notice</w:t>
      </w:r>
      <w:r>
        <w:rPr>
          <w:rFonts w:ascii="Times New Roman" w:hAnsi="Times New Roman"/>
          <w:color w:val="000000"/>
          <w:sz w:val="20"/>
        </w:rPr>
        <w:t xml:space="preserve">”) and an Officer’s Certificate certifying the date of such achievement and that the Holders are entitled to receive such Milestone Payment, (y) any letter of instruction reasonably required by the Rights Agent, which shall set forth the applicable Milestone Payment in respect of such Milestone as of the date of the applicable Milestone Notice, and (B) Parent shall, or shall cause the Surviving Corporation to, deliver to the Rights Agent (or to the Surviving Corporation or another of its Affiliates in the case of payments with respect to Equity Award CVRs, if such payments will not be made by Parent) the payment required by </w:t>
      </w:r>
      <w:r>
        <w:rPr>
          <w:rFonts w:ascii="Times New Roman" w:hAnsi="Times New Roman"/>
          <w:color w:val="000000"/>
          <w:sz w:val="20"/>
          <w:u w:val="single"/>
        </w:rPr>
        <w:t>Section 4.2</w:t>
      </w:r>
      <w:r>
        <w:rPr>
          <w:rFonts w:ascii="Times New Roman" w:hAnsi="Times New Roman"/>
          <w:color w:val="000000"/>
          <w:sz w:val="20"/>
        </w:rPr>
        <w:t xml:space="preserve">, if being delivered to the Rights Agent to the account set forth on </w:t>
      </w:r>
      <w:r>
        <w:rPr>
          <w:rFonts w:ascii="Times New Roman" w:hAnsi="Times New Roman"/>
          <w:color w:val="000000"/>
          <w:sz w:val="20"/>
          <w:u w:val="single"/>
        </w:rPr>
        <w:t>Annex I</w:t>
      </w:r>
      <w:r>
        <w:rPr>
          <w:rFonts w:ascii="Times New Roman" w:hAnsi="Times New Roman"/>
          <w:color w:val="000000"/>
          <w:sz w:val="20"/>
        </w:rPr>
        <w:t xml:space="preserve"> hereto, which account information may be updated from time to time by the Rights Agent by prior written notice to Parent (the “</w:t>
      </w:r>
      <w:r>
        <w:rPr>
          <w:rFonts w:ascii="Times New Roman" w:hAnsi="Times New Roman"/>
          <w:color w:val="000000"/>
          <w:sz w:val="20"/>
          <w:u w:val="single"/>
        </w:rPr>
        <w:t>Rights Agent Account</w:t>
      </w:r>
      <w:r>
        <w:rPr>
          <w:rFonts w:ascii="Times New Roman" w:hAnsi="Times New Roman"/>
          <w:color w:val="000000"/>
          <w:sz w:val="20"/>
        </w:rPr>
        <w:t>”). For the avoidance of doubt, (i) each Milestone Payment will only be due once, if at all, subject to the conditions set forth herein, (ii) each Milestone Payment will become payable solely upon the first achievement of the applicable Milestone, regardless of the number of CVR Products that subsequently achieve such Milestone, (iii) no amounts will be due for subsequent or repeated achievements of any Milestone, and (iv) the applicable Milestone Payment shall not be payable if a Milestone occurs following the earlier to occur of the applicable Milestone Expiration or Termination.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The Rights Agent will as soon as practicable, and in any event within ten (10) business days after receipt of a Milestone Notice and the payment required by </w:t>
      </w:r>
      <w:r>
        <w:rPr>
          <w:rFonts w:ascii="Times New Roman" w:hAnsi="Times New Roman"/>
          <w:color w:val="000000"/>
          <w:sz w:val="20"/>
          <w:u w:val="single"/>
        </w:rPr>
        <w:t>Section 4.2</w:t>
      </w:r>
      <w:r>
        <w:rPr>
          <w:rFonts w:ascii="Times New Roman" w:hAnsi="Times New Roman"/>
          <w:color w:val="000000"/>
          <w:sz w:val="20"/>
        </w:rPr>
        <w:t xml:space="preserve">, as well as any letter of instruction reasonably required by the Rights Agent, send each Holder at its registered address a copy of such Milestone Notice and pay the applicable Milestone Payment Amount to each Holder (other than a Holder of an Equity Award CVR) (i) by check mailed to the address of each Holder as reflected in the CVR Register as of the close of business on the date of such Milestone Notice, or (ii) with respect to any such Holder that is due an amount in excess of $100,000 in the aggregate who has provided the Rights Agent wiring instructions in writing as of the close of business on the date of such Milestone Notice, by wire transfer of immediately available funds to the account specified on such instruction. Parent will pay, or will cause the Surviving Corporation or another of its Affiliates to pay, the applicable Milestone Payment Amount to each Holder of an Equity Award CVR within ten (10) days of the delivery of the applicable Milestone Notice to the Rights Agent, subject to </w:t>
      </w:r>
      <w:r>
        <w:rPr>
          <w:rFonts w:ascii="Times New Roman" w:hAnsi="Times New Roman"/>
          <w:color w:val="000000"/>
          <w:sz w:val="20"/>
          <w:u w:val="single"/>
        </w:rPr>
        <w:t>Section 2.4(c)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Parent and its Affiliates (including the Surviving Corporation) and the Rights Agent shall be entitled to deduct and withhold from any Milestone Payment Amount or any other amounts otherwise payable pursuant to this Agreement such amounts as are required to be deducted and withheld therefrom under applicable Law. With respect to Initial Holders who received Equity Award CVRs, any such withholding may be made, or caused to be made, by Parent through the Surviving Corporation’s or its Affiliates’ payroll system or any successor payroll system. Prior to paying any Milestone Payment Amount to the Holders, the Rights Agent shall provide the opportunity for each Holder to provide a copy of a duly executed IRS Form W-9 or appropriate IRS Form W-8, as applicable, or any other forms or information that the Rights Agent may reasonably request in order to avoid or reduce any applicable withholding amount. Unless otherwise directed by Parent, the Rights Agent shall promptly and timely remit, or cause to be remitted, any amounts withheld in respect of Taxes to the appropriate Governmental Body. To the extent any amounts are so deducted and withheld and properly remitted, such amounts shall be treated for all purposes of this Agreement as having been paid to the person in respect of whom such deduction and withholding was made. 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or transferee or other Person in respect of Section 409A of the Code.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Any portion of a Milestone Payment Amount that remains undistributed six (6) months after the date of the delivery of the applicable Milestone Notice will be delivered by the Rights Agent to Parent, upon demand, and any Holder will thereafter look only to Parent for payment of the applicable Milestone Payment Amount, without interest, but such Holder will have no greater rights against Parent than those accorded to general unsecured creditors of Parent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None of Parent, any of its Affiliates (including the Surviving Corporation) or the Rights Agent will be liable to any person in respect of any Milestone Payment Amount or portion thereof delivered to a public official pursuant to any applicable abandoned property, escheat or similar Law. If, despite efforts by the Rights Agent to deliver a Milestone Payment Amount to the applicable Holder pursuant to the Rights Agent’s customary unclaimed funds procedures, such Milestone Payment Amount has not been paid prior to the two (2) year anniversary of the applicable Milestone Payment Date (or immediately prior to such earlier date on which such Milestone Payment Amount would otherwise escheat to or become the property of any Governmental Body), such Milestone Payment Amount will, to the extent permitted by applicable Law, become the property of Parent, free and clear of all claims or interest of any person previously entitled thereto.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or a public official.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          The Rights Agent shall be responsible for information reporting required under applicable Law with respect to the CVRs, including on Internal Revenue Service Form 1099-B or other applicable form to the extent required under applicable Law. Parent shall provide the Rights Agent with properly completed “Standard Tax Reporting Instructions” contained in Annex II hereto, and Parent shall use commercially reasonable efforts to cooperate with the Rights Agent to provide any other information reasonably necessary for the Rights Agent to carry out its obligations in this </w:t>
      </w:r>
      <w:r>
        <w:rPr>
          <w:rFonts w:ascii="Times New Roman" w:hAnsi="Times New Roman"/>
          <w:color w:val="000000"/>
          <w:sz w:val="20"/>
          <w:u w:val="single"/>
        </w:rPr>
        <w:t>Section 2.4(f)</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2.5.        </w:t>
      </w:r>
      <w:r>
        <w:rPr>
          <w:rFonts w:ascii="Times New Roman" w:hAnsi="Times New Roman"/>
          <w:color w:val="000000"/>
          <w:sz w:val="20"/>
          <w:u w:val="single"/>
        </w:rPr>
        <w:t>No Voting, Dividends or Interest; No Equity or Ownership Interest in Parent or any of its Affiliates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CVRs will not have any voting or dividend rights, and interest will not accrue on any amounts payable on the CVRs to any Holder.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CVRs will not represent any equity or ownership interest in Parent, any constituent corporation party to the Merger Agreement or any of their respective Affiliates or Subsidiaries (including the Surviving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None of Parent or its directors and officers or other Affiliates will be deemed to have any fiduciary or similar duties to any Holder by virtue of this Agreement or the CVRs.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2.6.      </w:t>
      </w:r>
      <w:r>
        <w:rPr>
          <w:rFonts w:ascii="Times New Roman" w:hAnsi="Times New Roman"/>
          <w:color w:val="000000"/>
          <w:sz w:val="20"/>
          <w:u w:val="single"/>
        </w:rPr>
        <w:t>Holding of Funds</w:t>
      </w:r>
      <w:r>
        <w:rPr>
          <w:rFonts w:ascii="Times New Roman" w:hAnsi="Times New Roman"/>
          <w:color w:val="000000"/>
          <w:sz w:val="20"/>
        </w:rPr>
        <w:t>. All funds received by the Rights Agent under this Agreement that are to be distributed or applied by the Rights Agent in the performance of its services hereunder (the “</w:t>
      </w:r>
      <w:r>
        <w:rPr>
          <w:rFonts w:ascii="Times New Roman" w:hAnsi="Times New Roman"/>
          <w:color w:val="000000"/>
          <w:sz w:val="20"/>
          <w:u w:val="single"/>
        </w:rPr>
        <w:t>Funds</w:t>
      </w:r>
      <w:r>
        <w:rPr>
          <w:rFonts w:ascii="Times New Roman" w:hAnsi="Times New Roman"/>
          <w:color w:val="000000"/>
          <w:sz w:val="20"/>
        </w:rPr>
        <w:t xml:space="preserve">”) shall be held by the Rights Agent as agent for Parent and deposited in one or more segregated bank accounts to be maintained by the Rights Agent in its name as agent for Parent. Until paid pursuant to the terms of this Agreement, the Rights Agent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keep the Funds separate on its books and records so that such deposits can be subsequently identified on an individual basis and any such funds shall not be invested by the Rights Agent and shall not be used for any purpose not expressly provided for in this Agreement or the Merger Agreement. The Rights Agent shall have no responsibility or liability for any diminution of the Funds that may result from any deposit made by the Rights Agent in accordance with this </w:t>
      </w:r>
      <w:r>
        <w:rPr>
          <w:rFonts w:ascii="Times New Roman" w:hAnsi="Times New Roman"/>
          <w:color w:val="000000"/>
          <w:sz w:val="20"/>
          <w:u w:val="single"/>
        </w:rPr>
        <w:t>Section 2.6</w:t>
      </w:r>
      <w:r>
        <w:rPr>
          <w:rFonts w:ascii="Times New Roman" w:hAnsi="Times New Roman"/>
          <w:color w:val="000000"/>
          <w:sz w:val="20"/>
        </w:rPr>
        <w:t>, including any losses resulting from a default by any bank, financial institution or other Third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2.7.         </w:t>
      </w:r>
      <w:r>
        <w:rPr>
          <w:rFonts w:ascii="Times New Roman" w:hAnsi="Times New Roman"/>
          <w:color w:val="000000"/>
          <w:sz w:val="20"/>
          <w:u w:val="single"/>
        </w:rPr>
        <w:t>Ability to Abandon CVR</w:t>
      </w:r>
      <w:r>
        <w:rPr>
          <w:rFonts w:ascii="Times New Roman" w:hAnsi="Times New Roman"/>
          <w:color w:val="000000"/>
          <w:sz w:val="20"/>
        </w:rPr>
        <w:t>. A Holder may at any time, at such Holder’s option, abandon all of such Holder’s remaining rights in a CVR by transferring such CVR to Parent without consideration therefor, which a Holder may effect via delivery of a written abandonment notice to Parent. Nothing in this Agreement shall prohibit Parent or any of its Affiliates (including the Surviving Corporation) from offering to acquire or acquiring any CVRs for consideration from the Holders, in private transactions or otherwise, in its sole discretion. Any CVRs acquired by Parent or any of its Affiliates (including the Surviving Corporation) shall be automatically deemed extinguished and no longer outstanding or entitled to any Milestone Payment for purposes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2.8.        </w:t>
      </w:r>
      <w:r>
        <w:rPr>
          <w:rFonts w:ascii="Times New Roman" w:hAnsi="Times New Roman"/>
          <w:color w:val="000000"/>
          <w:sz w:val="20"/>
          <w:u w:val="single"/>
        </w:rPr>
        <w:t>Tax Treatment</w:t>
      </w:r>
      <w:r>
        <w:rPr>
          <w:rFonts w:ascii="Times New Roman" w:hAnsi="Times New Roman"/>
          <w:color w:val="000000"/>
          <w:sz w:val="20"/>
        </w:rPr>
        <w:t xml:space="preserve">. The parties hereto agree to treat the CVRs (other than the Equity Award CVRs) for all U.S. federal, and applicable state and local income Tax purposes as (a) except to the extent treated as imputed interest, additional consideration for, or in respect of, the Company Common Stock pursuant to the Merger Agreement, and (b) a “closed transaction” in which the fair market value of the CVRs, as determined by Parent in its sole discretion, is included in income in the taxable year of the Closing, and, in each case, none of the parties hereto will take any position to the contrary on any Tax Return, any other filing with a Governmental Body related to Taxes or for other Tax purposes except as otherwise required by a Final Determination. Parent, the Surviving Corporation and Rights Agent, as applicable, shall report imputed interest on the CVRs pursuant to Section 483 of the Code, to the extent required by applicable Law and in accordance with properly completed “Standard Tax Reporting Instructions” contained in </w:t>
      </w:r>
      <w:r>
        <w:rPr>
          <w:rFonts w:ascii="Times New Roman" w:hAnsi="Times New Roman"/>
          <w:color w:val="000000"/>
          <w:sz w:val="20"/>
          <w:u w:val="single"/>
        </w:rPr>
        <w:t>Annex II</w:t>
      </w:r>
      <w:r>
        <w:rPr>
          <w:rFonts w:ascii="Times New Roman" w:hAnsi="Times New Roman"/>
          <w:color w:val="000000"/>
          <w:sz w:val="20"/>
        </w:rPr>
        <w:t xml:space="preserve"> hereto.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III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RIGHTS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       </w:t>
      </w:r>
      <w:r>
        <w:rPr>
          <w:rFonts w:ascii="Times New Roman" w:hAnsi="Times New Roman"/>
          <w:color w:val="000000"/>
          <w:sz w:val="20"/>
          <w:u w:val="single"/>
        </w:rPr>
        <w:t>No Liability</w:t>
      </w:r>
      <w:r>
        <w:rPr>
          <w:rFonts w:ascii="Times New Roman" w:hAnsi="Times New Roman"/>
          <w:color w:val="000000"/>
          <w:sz w:val="20"/>
        </w:rPr>
        <w:t>. The Rights Agent will not have any liability for any actions taken or not taken in connection with this Agreement, except to the extent such liability arises as a result of its gross negligence, bad faith, or willful or intentional misconduct (which gross negligence, bad faith, or willful or intentional misconduct must be determined by a final, non-appealable judgment of a court of competent jurisdiction).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        </w:t>
      </w:r>
      <w:r>
        <w:rPr>
          <w:rFonts w:ascii="Times New Roman" w:hAnsi="Times New Roman"/>
          <w:color w:val="000000"/>
          <w:sz w:val="20"/>
          <w:u w:val="single"/>
        </w:rPr>
        <w:t>Certain Duties and Responsibilities</w:t>
      </w:r>
      <w:r>
        <w:rPr>
          <w:rFonts w:ascii="Times New Roman" w:hAnsi="Times New Roman"/>
          <w:color w:val="000000"/>
          <w:sz w:val="20"/>
        </w:rPr>
        <w:t xml:space="preserve">.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 or any of its Affiliates; </w:t>
      </w:r>
      <w:r>
        <w:rPr>
          <w:rFonts w:ascii="Times New Roman" w:hAnsi="Times New Roman"/>
          <w:color w:val="000000"/>
          <w:sz w:val="20"/>
          <w:u w:val="single"/>
        </w:rPr>
        <w:t>provided</w:t>
      </w:r>
      <w:r>
        <w:rPr>
          <w:rFonts w:ascii="Times New Roman" w:hAnsi="Times New Roman"/>
          <w:color w:val="000000"/>
          <w:sz w:val="20"/>
        </w:rPr>
        <w:t xml:space="preserve"> that this </w:t>
      </w:r>
      <w:r>
        <w:rPr>
          <w:rFonts w:ascii="Times New Roman" w:hAnsi="Times New Roman"/>
          <w:color w:val="000000"/>
          <w:sz w:val="20"/>
          <w:u w:val="single"/>
        </w:rPr>
        <w:t>Section 3.2</w:t>
      </w:r>
      <w:r>
        <w:rPr>
          <w:rFonts w:ascii="Times New Roman" w:hAnsi="Times New Roman"/>
          <w:color w:val="000000"/>
          <w:sz w:val="20"/>
        </w:rPr>
        <w:t xml:space="preserve"> shall not affect the Rights Agent’s obligation to make payments in accordance with and subject to </w:t>
      </w:r>
      <w:r>
        <w:rPr>
          <w:rFonts w:ascii="Times New Roman" w:hAnsi="Times New Roman"/>
          <w:color w:val="000000"/>
          <w:sz w:val="20"/>
          <w:u w:val="single"/>
        </w:rPr>
        <w:t>Section 2.4</w:t>
      </w:r>
      <w:r>
        <w:rPr>
          <w:rFonts w:ascii="Times New Roman" w:hAnsi="Times New Roman"/>
          <w:color w:val="000000"/>
          <w:sz w:val="20"/>
        </w:rPr>
        <w:t xml:space="preserve"> and the other terms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3.3.         </w:t>
      </w:r>
      <w:r>
        <w:rPr>
          <w:rFonts w:ascii="Times New Roman" w:hAnsi="Times New Roman"/>
          <w:color w:val="000000"/>
          <w:sz w:val="20"/>
          <w:u w:val="single"/>
        </w:rPr>
        <w:t>Certain Rights of the Rights Agent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 </w:t>
      </w:r>
      <w:r>
        <w:rPr>
          <w:rFonts w:ascii="Times New Roman" w:hAnsi="Times New Roman"/>
          <w:color w:val="000000"/>
          <w:sz w:val="20"/>
        </w:rPr>
        <w:t>The Rights Agent undertakes to perform such duties and only such duties as are specifically set forth in this Agreement, and no implied covenants or obligations will be read into this Agreement against the Rights Agent. In addition: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Rights Agent may rely and will be protected and held harmless by Parent in acting or refraining from acting upon any resolution, certificate, statement, instrument, opinion, report, notice, request, direction, consent, order or other paper or document believed by it in the absence of bad faith to be genuine and to have been signed or presented by the proper party or parties;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whenever the Rights Agent will deem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gross negligence or willful or intentional misconduct on its part (which bad faith, gross negligence or willful or intentional misconduct must be determined by a final, non-appealable judgment of a court of competent jurisdiction), incur no liability and be held harmless by Parent for or in respect of any action taken, suffered or omitted to be taken by it under the provisions of this Agreement in reliance upon such certificate;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Rights Agent may engage and consult with counsel of its selection and the written advice of such counsel or any opinion of counsel will be full and complete authorization and protection to the Rights Agent and the Rights Agent shall be held harmless by Parent in respect of any action taken, suffered or omitted by it hereunder in the absence of bad faith and in reliance thereon and that does not constitute gross negligence or willful or intentional misconduct;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permissive rights of the Rights Agent to do things enumerated in this Agreement will not be construed as a duty;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Rights Agent will not be required to give any note or surety in respect of the execution of such powers;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the Rights Agent will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Parent agrees to indemnify the Rights Agent for, and hold the Rights Agent harmless against, any loss, liability, damage, judgment, fine, penalty, claim, demands, suits or expense arising out of or in connection with the Rights Agent’s performance of its duties under this Agreement (excluding any Taxes imposed on the fees to the Rights Agent hereunder), including the reasonable and documented out-of-pocket costs and expenses of defending the Rights Agent against any claims, charges, demands, suits or loss arising out of or in connection with the execution, administration, exercise and performance by the Rights Agent of its duties under this Agreement, including the reasonable and documented out-of-pocket costs and expenses of defending against any claim of liability arising therefrom, directly or indirectly, or, solely to the extent the Rights Agent is the prevailing party, enforcement of its rights hereunder, unless such loss has been determined by a court of competent jurisdiction to have resulted from the Rights Agent’s willful or intentional misconduct, bad faith, gross negligence or fraud;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notwithstanding anything to the contrary herein,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Notwithstanding anything to the contrary contained herein, the aggregate liability of the Rights Agent arising in connection with this Agreement, whether in contract, or in tort, or otherwise, is limited to, and shall not exceed the amounts paid or payable hereunder by Parent to the Rights Agent as fees and charges during the twelve (12) months immediately preceding the event for which recovery from the Rights Agent is being sought, and regardless of the form of 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Parent agrees (x) to pay the fees and expenses of the Rights Agent in connection with this Agreement, as agreed upon in writing in a fee schedule by the Rights Agent and Parent on or prior to the date hereof, which shall include reimbursement from Parent, for all reasonable, documented and necessary out-of-pocket expenses and disbursements paid or incurred in the preparation, delivery, negotiation, amendment, administration and execution of this Agreement and the exercise and performance by the Rights Agent of its duties hereunder and (y) to reimburse the Rights Agent for all Taxes and governmental charges paid or incurred by it in connection with the administration by the Rights Agent of its duties hereunder (other than Taxes imposed on or measured by the Rights Agent’s net income and franchise or similar Taxes imposed on it (in lieu of net income Taxes)); provided that if the Rights Agent determines in the absence of bad faith that it has received a refund of any Tax or governmental charge borne by Parent pursuant to this clause (y), the Rights Agent shall promptly repay such refund to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(l)         in the event the Rights Agent reasonably believes any ambiguity or uncertainty exists hereunder or in any notice, instruction, direction, request or other communication, paper or document received by the Rights Agent hereunder, the Rights Agent shall, as soon as practicable, provide written notice to Parent describing in detail the ambiguity or uncertainty it believes exists, and the Rights Agent shall seek clarification. Parent will respond to such request for clarification as promptly as reasonably practicable, and in any event within ten (10) Business Days. If such clarification is not provided within ten (10) Business Days, the Rights Agent may, in its sole discretion, refrain from taking any action, and shall be fully protected and shall not be liable in any way to Parent or any Holder or any other Person for refraining from taking such action, unless and until the Rights Agent receives written instructions from Parent which reasonably eliminate such ambiguity or uncertainty;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(m)        the Rights Agent shall not be deemed to have knowledge of any event of which it was entitled to receive notice thereof hereunder, and the Rights Agent shall be fully protected and shall incur no liability for failing to take action in connection therewith, in each case, unless and until such notice has been given in accordance with </w:t>
      </w:r>
      <w:r>
        <w:rPr>
          <w:rFonts w:ascii="Times New Roman" w:hAnsi="Times New Roman"/>
          <w:color w:val="000000"/>
          <w:sz w:val="20"/>
          <w:u w:val="single"/>
        </w:rPr>
        <w:t>Section 6.1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         unless otherwise specifically prohibited by the terms of this Agreement and subject to applicable Law, the Rights Agent and any stockholder, affiliate, member, director, officer, agent, representative or employee of the Rights Agent may buy, sell or deal in any of the securities of Parent or become pecuniarily interested in any transaction in which Parent may be interested, or contract with or lend money to Parent or otherwise act as fully and freely as though it were not the Rights Agent under this Agreement. Nothing herein shall preclude the Rights Agent or any such stockholder, affiliate, director, member, officer, agent, representative or employee from acting in any other capacity for Parent or for any other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(o)         the Rights Agent may perform any of its duties hereunder either directly or, with the prior written consent of Parent, by or through nominees, correspondents, designees, or subagents;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in the event the Rights Agent performs any of its duties hereunder by or through any nominee, correspondent, designee, or subagent with the consent of Parent, the Rights Agent shall not be liable hereunder for any act, omission, default, neglect or misconduct of such nominee, correspondent, designee, or subagent, as applicable, to the Company resulting from any such act, default, neglect or misconduct, absent gross negligence, bad faith or willful or intentional misconduct of such nominee, correspondent, designee, or subagent (each as determined by a final, non-appealable judgment of a court of competent jurisdiction) or in the Rights Agent’s selection or continued employment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        the Rights Agent shall act hereunder solely as agent for Parent and it shall not assume any obligations or relationship of agency or trust with any of the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(q)       the Rights Agent shall not have any duty or responsibility with respect to any action or default by Parent or the Company, including, without limiting the generality of the foregoing, any duty or responsibility to initiate or attempt to initiate any proceedings at law or otherwise or to make any demand upon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(r)       the provisions of this </w:t>
      </w:r>
      <w:r>
        <w:rPr>
          <w:rFonts w:ascii="Times New Roman" w:hAnsi="Times New Roman"/>
          <w:color w:val="000000"/>
          <w:sz w:val="20"/>
          <w:u w:val="single"/>
        </w:rPr>
        <w:t>Section 3.3</w:t>
      </w:r>
      <w:r>
        <w:rPr>
          <w:rFonts w:ascii="Times New Roman" w:hAnsi="Times New Roman"/>
          <w:color w:val="000000"/>
          <w:sz w:val="20"/>
        </w:rPr>
        <w:t xml:space="preserve"> shall survive the termination of this Agreement and the resignation, replacement or removal of the Rights Agent;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3.4.         </w:t>
      </w:r>
      <w:r>
        <w:rPr>
          <w:rFonts w:ascii="Times New Roman" w:hAnsi="Times New Roman"/>
          <w:color w:val="000000"/>
          <w:sz w:val="20"/>
          <w:u w:val="single"/>
        </w:rPr>
        <w:t>Resignation and Removal; Appointment of Successor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Rights Agent may resign at any time by giving written notice thereof to Parent specifying a date when such resignation will take effect, which notice will be sent at least thirty (30) days prior to the date so specified, and such resignation will become effective on the date so specified. Parent has the right to remove the Rights Agent by giving written notice thereof to the Rights Agent specifying a date when such removal will take effect and such removal will become effective on the date so specified; provided notice of such removal is given by Parent to the Rights Agent at least sixty (60) days prior to the date so specified.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If the Rights Agent provides notice of its intent to resign, is removed pursuant to </w:t>
      </w:r>
      <w:r>
        <w:rPr>
          <w:rFonts w:ascii="Times New Roman" w:hAnsi="Times New Roman"/>
          <w:color w:val="000000"/>
          <w:sz w:val="20"/>
          <w:u w:val="single"/>
        </w:rPr>
        <w:t>Section 3.4(a)</w:t>
      </w:r>
      <w:r>
        <w:rPr>
          <w:rFonts w:ascii="Times New Roman" w:hAnsi="Times New Roman"/>
          <w:color w:val="000000"/>
          <w:sz w:val="20"/>
        </w:rPr>
        <w:t xml:space="preserve"> or becomes incapable of acting, Parent will as soon as is reasonably possible, appoint a qualified successor Rights Agent who, unless otherwise consented to in writing by the Acting Holders, shall be a stock transfer agent of national reputation or the corporate trust department of a commercial bank. The successor Rights Agent so appointed will, forthwith upon its acceptance of such appointment in accordance with </w:t>
      </w:r>
      <w:r>
        <w:rPr>
          <w:rFonts w:ascii="Times New Roman" w:hAnsi="Times New Roman"/>
          <w:color w:val="000000"/>
          <w:sz w:val="20"/>
          <w:u w:val="single"/>
        </w:rPr>
        <w:t>Section 3.5</w:t>
      </w:r>
      <w:r>
        <w:rPr>
          <w:rFonts w:ascii="Times New Roman" w:hAnsi="Times New Roman"/>
          <w:color w:val="000000"/>
          <w:sz w:val="20"/>
        </w:rPr>
        <w:t>, become the successor Rights Agent. Notwithstanding the foregoing, if Parent fails to make such appointment within a period of sixty (60) days after giving notice of such removal, or within thirty (30) days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shall, forthwith upon its acceptance of such appointment in accordance with Section 3.4, become the successor Rights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Business Days after acceptance of appointment by a successor Rights Agent in accordance with </w:t>
      </w:r>
      <w:r>
        <w:rPr>
          <w:rFonts w:ascii="Times New Roman" w:hAnsi="Times New Roman"/>
          <w:color w:val="000000"/>
          <w:sz w:val="20"/>
          <w:u w:val="single"/>
        </w:rPr>
        <w:t>Section 3.5</w:t>
      </w:r>
      <w:r>
        <w:rPr>
          <w:rFonts w:ascii="Times New Roman" w:hAnsi="Times New Roman"/>
          <w:color w:val="000000"/>
          <w:sz w:val="20"/>
        </w:rPr>
        <w:t xml:space="preserve">, the successor Rights Agent will cause the notice to be mailed at the expense of Parent; </w:t>
      </w:r>
      <w:r>
        <w:rPr>
          <w:rFonts w:ascii="Times New Roman" w:hAnsi="Times New Roman"/>
          <w:color w:val="000000"/>
          <w:sz w:val="20"/>
          <w:u w:val="single"/>
        </w:rPr>
        <w:t>provided</w:t>
      </w:r>
      <w:r>
        <w:rPr>
          <w:rFonts w:ascii="Times New Roman" w:hAnsi="Times New Roman"/>
          <w:color w:val="000000"/>
          <w:sz w:val="20"/>
        </w:rPr>
        <w:t xml:space="preserve"> that failure to give any notice provided for in this </w:t>
      </w:r>
      <w:r>
        <w:rPr>
          <w:rFonts w:ascii="Times New Roman" w:hAnsi="Times New Roman"/>
          <w:color w:val="000000"/>
          <w:sz w:val="20"/>
          <w:u w:val="single"/>
        </w:rPr>
        <w:t>Section 3.4(c)</w:t>
      </w:r>
      <w:r>
        <w:rPr>
          <w:rFonts w:ascii="Times New Roman" w:hAnsi="Times New Roman"/>
          <w:color w:val="000000"/>
          <w:sz w:val="20"/>
        </w:rPr>
        <w:t xml:space="preserve">, shall not affect the legality or validity of the resignation or removal of the Rights Agent or the appointment of the successor Rights Agent, as the case may be, in each case, in accordance with this </w:t>
      </w:r>
      <w:r>
        <w:rPr>
          <w:rFonts w:ascii="Times New Roman" w:hAnsi="Times New Roman"/>
          <w:color w:val="000000"/>
          <w:sz w:val="20"/>
          <w:u w:val="single"/>
        </w:rPr>
        <w:t>Section 3.4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Rights Agent will reasonably cooperate with Parent and any successor Rights Agent as reasonably requested in connection with the transition of the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Parent or assume any additional liability in connection with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3.5.      </w:t>
      </w:r>
      <w:r>
        <w:rPr>
          <w:rFonts w:ascii="Times New Roman" w:hAnsi="Times New Roman"/>
          <w:color w:val="000000"/>
          <w:sz w:val="20"/>
          <w:u w:val="single"/>
        </w:rPr>
        <w:t>Acceptance of Appointment by Successor</w:t>
      </w:r>
      <w:r>
        <w:rPr>
          <w:rFonts w:ascii="Times New Roman" w:hAnsi="Times New Roman"/>
          <w:color w:val="000000"/>
          <w:sz w:val="20"/>
        </w:rPr>
        <w:t xml:space="preserve">. Every successor Rights Agent appointed pursuant to </w:t>
      </w:r>
      <w:r>
        <w:rPr>
          <w:rFonts w:ascii="Times New Roman" w:hAnsi="Times New Roman"/>
          <w:color w:val="000000"/>
          <w:sz w:val="20"/>
          <w:u w:val="single"/>
        </w:rPr>
        <w:t>Section 3.4(b)</w:t>
      </w:r>
      <w:r>
        <w:rPr>
          <w:rFonts w:ascii="Times New Roman" w:hAnsi="Times New Roman"/>
          <w:color w:val="000000"/>
          <w:sz w:val="20"/>
        </w:rPr>
        <w:t xml:space="preserve"> hereunder will execute, acknowledge and deliver to Parent and to the predecessor Rights Agent an instrument accepting such appointment and a counterpart of this Agreement, and thereupon such successor Rights Agent, without any further act, deed or conveyance, will become vested with all the rights, powers, liabilities, trusts and duties of the predecessor Rights Agent and all references to the “Rights Agent” herein shall be deemed to refer to such successor Rights Agent. On request of Parent or the successor Rights Agent, the predecessor Rights Agent will execute and deliver an instrument transferring to the successor Rights Agent all the rights, powers and trusts of the predecessor Rights Agent, except such rights which survive its resignation or removal under the terms hereunder.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IV</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COVENANTS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       </w:t>
      </w:r>
      <w:r>
        <w:rPr>
          <w:rFonts w:ascii="Times New Roman" w:hAnsi="Times New Roman"/>
          <w:color w:val="000000"/>
          <w:sz w:val="20"/>
          <w:u w:val="single"/>
        </w:rPr>
        <w:t>List of Holders</w:t>
      </w:r>
      <w:r>
        <w:rPr>
          <w:rFonts w:ascii="Times New Roman" w:hAnsi="Times New Roman"/>
          <w:color w:val="000000"/>
          <w:sz w:val="20"/>
        </w:rPr>
        <w:t>. Parent will furnish or cause to be furnished to the Rights Agent in such form as Parent receives from the Company’s transfer agent (or other agent performing similar services for the Company with respect to other shares of Company Common Stock, Company RSUs, Company Cash-Out Stock Options or Pre-Funded Warrants) the names and addresses of the Initial Holders of CVRs within thirty (30) Business Days after the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4.2.        </w:t>
      </w:r>
      <w:r>
        <w:rPr>
          <w:rFonts w:ascii="Times New Roman" w:hAnsi="Times New Roman"/>
          <w:color w:val="000000"/>
          <w:sz w:val="20"/>
          <w:u w:val="single"/>
        </w:rPr>
        <w:t>Payment of Milestone Payment Amounts</w:t>
      </w:r>
      <w:r>
        <w:rPr>
          <w:rFonts w:ascii="Times New Roman" w:hAnsi="Times New Roman"/>
          <w:color w:val="000000"/>
          <w:sz w:val="20"/>
        </w:rPr>
        <w:t xml:space="preserve">. If a Milestone has been achieved prior to the earlier of (x) the applicable Milestone Expiration and (y) Termination, with respect to both ((x)-(y)), Parent shall, or shall cause the Surviving Corporation to, on or prior to the applicable Milestone Payment Date, (i) deposit in the Rights Agent Account, for payment to the Holders who are not Holders of Equity Award CVRs, in accordance with </w:t>
      </w:r>
      <w:r>
        <w:rPr>
          <w:rFonts w:ascii="Times New Roman" w:hAnsi="Times New Roman"/>
          <w:color w:val="000000"/>
          <w:sz w:val="20"/>
          <w:u w:val="single"/>
        </w:rPr>
        <w:t>Section 2.4</w:t>
      </w:r>
      <w:r>
        <w:rPr>
          <w:rFonts w:ascii="Times New Roman" w:hAnsi="Times New Roman"/>
          <w:color w:val="000000"/>
          <w:sz w:val="20"/>
        </w:rPr>
        <w:t xml:space="preserve">, the aggregate amount necessary to pay such Milestone Payment Amount to each Holder who is not a Holder of an Equity Award CVR and (ii) deposit with Parent, Surviving Corporation, or their Affiliates, for payment to the Holders of Equity Award CVRs, in accordance with </w:t>
      </w:r>
      <w:r>
        <w:rPr>
          <w:rFonts w:ascii="Times New Roman" w:hAnsi="Times New Roman"/>
          <w:color w:val="000000"/>
          <w:sz w:val="20"/>
          <w:u w:val="single"/>
        </w:rPr>
        <w:t>Section 2.4</w:t>
      </w:r>
      <w:r>
        <w:rPr>
          <w:rFonts w:ascii="Times New Roman" w:hAnsi="Times New Roman"/>
          <w:color w:val="000000"/>
          <w:sz w:val="20"/>
        </w:rPr>
        <w:t>, the aggregate amount necessary to pay such Milestone Payment Amount to each Holder of an Equity Award CVR. For the avoidance of doubt, each Milestone Payment Amount shall only be paid one time, if at all, subject to the achievement of the applicable Milestone prior to the earlier of Milestone Expiration and Termination, and the maximum aggregate potential amount payable under this Agreement per CVR shall be $1.00 with respect to the First Milestone, $0.50 with respect to the Second Milestone, and $1.00 with respect to the Third Milestone. Without prejudice to any rights of the Rights Agent or the Holders under this Agreement in the case of Parent’s breach of its obligations under this Agreement, if a Milestone has not been achieved prior to the earlier of the applicable Milestone Expiration and Termination, then Parent will not be required to make any payment to the Rights Agent or the Holders pursuant to this Agreement in respect of such Milestone.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4.3.         </w:t>
      </w:r>
      <w:r>
        <w:rPr>
          <w:rFonts w:ascii="Times New Roman" w:hAnsi="Times New Roman"/>
          <w:color w:val="000000"/>
          <w:sz w:val="20"/>
          <w:u w:val="single"/>
        </w:rPr>
        <w:t>Additional Covenants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From the Closing Date until the earlier of the applicable Milestone Expiration and Termination, Parent shall, and shall cause its Subsidiaries, including the Surviving Corporation, to use Commercially Reasonable Efforts: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with respect to the First CVR Product, to achieve the First Milestone and Third Milestone prior to the applicable Milestone Expiration; </w:t>
      </w:r>
      <w:r>
        <w:rPr>
          <w:rFonts w:ascii="Times New Roman" w:hAnsi="Times New Roman"/>
          <w:color w:val="000000"/>
          <w:sz w:val="20"/>
          <w:u w:val="single"/>
        </w:rPr>
        <w:t>provided</w:t>
      </w:r>
      <w:r>
        <w:rPr>
          <w:rFonts w:ascii="Times New Roman" w:hAnsi="Times New Roman"/>
          <w:color w:val="000000"/>
          <w:sz w:val="20"/>
        </w:rPr>
        <w:t xml:space="preserve"> that neither Parent nor its Subsidiaries shall have any obligation to use any efforts to achieve the First Milestone or Third Milestone with respect to a First CVR Product, in each case, for the treatment of MDD or GAD (such exclusion, the “</w:t>
      </w:r>
      <w:r>
        <w:rPr>
          <w:rFonts w:ascii="Times New Roman" w:hAnsi="Times New Roman"/>
          <w:color w:val="000000"/>
          <w:sz w:val="20"/>
          <w:u w:val="single"/>
        </w:rPr>
        <w:t>VLS Indication Exclusion</w:t>
      </w:r>
      <w:r>
        <w:rPr>
          <w:rFonts w:ascii="Times New Roman" w:hAnsi="Times New Roman"/>
          <w:color w:val="000000"/>
          <w:sz w:val="20"/>
        </w:rPr>
        <w:t>”), except that if Parent or its Subsidiaries elect, in Parent’s sole discretion, to terminate clinical development of the First CVR Product in TRD, and thereafter, in its sole discretion, commence clinical development of the First CVR Product in either MDD or GAD (such first indication to be elected for development, the “</w:t>
      </w:r>
      <w:r>
        <w:rPr>
          <w:rFonts w:ascii="Times New Roman" w:hAnsi="Times New Roman"/>
          <w:color w:val="000000"/>
          <w:sz w:val="20"/>
          <w:u w:val="single"/>
        </w:rPr>
        <w:t>VLS Replacement Indication</w:t>
      </w:r>
      <w:r>
        <w:rPr>
          <w:rFonts w:ascii="Times New Roman" w:hAnsi="Times New Roman"/>
          <w:color w:val="000000"/>
          <w:sz w:val="20"/>
        </w:rPr>
        <w:t>”), then the VLS Indication Exclusion will thereafter be deemed to include TRD instead of the VLS Replacement Indication,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(ii)       with respect to the Second CVR Product, to achieve the Second Milestone prior to the Second Milestone Expiration; </w:t>
      </w:r>
      <w:r>
        <w:rPr>
          <w:rFonts w:ascii="Times New Roman" w:hAnsi="Times New Roman"/>
          <w:color w:val="000000"/>
          <w:sz w:val="20"/>
          <w:u w:val="single"/>
        </w:rPr>
        <w:t>provided</w:t>
      </w:r>
      <w:r>
        <w:rPr>
          <w:rFonts w:ascii="Times New Roman" w:hAnsi="Times New Roman"/>
          <w:color w:val="000000"/>
          <w:sz w:val="20"/>
        </w:rPr>
        <w:t xml:space="preserve"> that neither Parent nor its Subsidiaries shall have any obligation to use any efforts to achieve the Second Milestone with respect to a Second CVR Product for the treatment of MDD or GAD;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u w:val="single"/>
        </w:rPr>
        <w:t>provided</w:t>
      </w:r>
      <w:r>
        <w:rPr>
          <w:rFonts w:ascii="Times New Roman" w:hAnsi="Times New Roman"/>
          <w:color w:val="000000"/>
          <w:sz w:val="20"/>
        </w:rPr>
        <w:t xml:space="preserve"> that, with respect to (i) and (ii) above, (x) use of Commercially Reasonable Efforts does not guarantee that Parent will achieve a Milestone by a specific date or at all and (y) under no circumstances shall Parent or any of its Subsidiaries be required to use Commercially Reasonable Efforts to (1) simultaneously pursue multiple indications with respect to any one CVR Product or (2) make any Insubstantial Change to any CVR Product.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The Rights Agent (on behalf of itself and on behalf of the Holders) acknowledges and agrees that Parent owes no obligation or duty, as a fiduciary or otherwise, to the Rights Agent, any Holder or any other Person in connection with its operation of the Surviving Corporation’s business following the Closing except as expressly stated herein, and the Rights Agent (on behalf of itself and on behalf of the Holders) further acknowledges and agrees that (i) Parent makes (x) no guarantees or promises that a Milestone will be achieved at all or by a specific date or is achievable and (y) no assessments or predictions regarding the likelihood of a Milestone being achieved, (ii) there is no assurance that the Holders will receive any payment as described under </w:t>
      </w:r>
      <w:r>
        <w:rPr>
          <w:rFonts w:ascii="Times New Roman" w:hAnsi="Times New Roman"/>
          <w:color w:val="000000"/>
          <w:sz w:val="20"/>
          <w:u w:val="single"/>
        </w:rPr>
        <w:t>Section 4.2</w:t>
      </w:r>
      <w:r>
        <w:rPr>
          <w:rFonts w:ascii="Times New Roman" w:hAnsi="Times New Roman"/>
          <w:color w:val="000000"/>
          <w:sz w:val="20"/>
        </w:rPr>
        <w:t xml:space="preserve">, unless the applicable Milestone is achieved, (iii) Parent has not, prior to or after the date hereof, promised or projected (or shared any projections of) any amounts to be received by the Holders in respect of any payments described in </w:t>
      </w:r>
      <w:r>
        <w:rPr>
          <w:rFonts w:ascii="Times New Roman" w:hAnsi="Times New Roman"/>
          <w:color w:val="000000"/>
          <w:sz w:val="20"/>
          <w:u w:val="single"/>
        </w:rPr>
        <w:t>Section 4.2</w:t>
      </w:r>
      <w:r>
        <w:rPr>
          <w:rFonts w:ascii="Times New Roman" w:hAnsi="Times New Roman"/>
          <w:color w:val="000000"/>
          <w:sz w:val="20"/>
        </w:rPr>
        <w:t xml:space="preserve">, (iv) subject to the obligations in Section 4.3(a), none of the Rights Agent and any Holder is relying on or has relied on any promises, projections, representation or warranty of any kind or other information, documents or materials (or absence thereof) from Parent in respect of any payments described in </w:t>
      </w:r>
      <w:r>
        <w:rPr>
          <w:rFonts w:ascii="Times New Roman" w:hAnsi="Times New Roman"/>
          <w:color w:val="000000"/>
          <w:sz w:val="20"/>
          <w:u w:val="single"/>
        </w:rPr>
        <w:t>Section 4.2</w:t>
      </w:r>
      <w:r>
        <w:rPr>
          <w:rFonts w:ascii="Times New Roman" w:hAnsi="Times New Roman"/>
          <w:color w:val="000000"/>
          <w:sz w:val="20"/>
        </w:rPr>
        <w:t xml:space="preserve">, including with respect to the operation of the Surviving Corporation’s business following the Closing, (v) Parent and its Affiliates (including Surviving Corporation) may now or in the future engage in (x) research, development or commercialization activities that utilize technologies similar to or involve products competitive with those contemplated by a Milestone and the applicable CVR Product, (y) one or more transactions (including a purchase of assets, properties or businesses, merger, purchase of stock or other equity interests, or otherwise) pursuant to which Parent or its Affiliates (including the Surviving Corporation) directly or indirectly acquires technologies or products similar to or competitive with those contemplated by a Milestone and the applicable CVR Product, or (z) one or more licensing transactions pursuant to which Parent or its Affiliates (including the Surviving Corporation) directly or indirectly licenses any Intellectual Property, technologies or products, or the development or commercialization of any of the foregoing, similar to or competitive with those contemplated by a Milestone and the applicable CVR Product, (vi) except for Parent’s obligations set forth in Section 4.3(a), Parent and its Affiliates shall have the right to, or not to, own, operate, use, license, research, develop and otherwise commercialize, or otherwise practice, use, or exploit, the assets of the Surviving Corporation’s (and its Subsidiaries’) business in any way that Parent deems appropriate, in its sole business judgment, and (vii) except for Parent’s obligations set forth in </w:t>
      </w:r>
      <w:r>
        <w:rPr>
          <w:rFonts w:ascii="Times New Roman" w:hAnsi="Times New Roman"/>
          <w:color w:val="000000"/>
          <w:sz w:val="20"/>
          <w:u w:val="single"/>
        </w:rPr>
        <w:t>Section 4.3(a)</w:t>
      </w:r>
      <w:r>
        <w:rPr>
          <w:rFonts w:ascii="Times New Roman" w:hAnsi="Times New Roman"/>
          <w:color w:val="000000"/>
          <w:sz w:val="20"/>
        </w:rPr>
        <w:t xml:space="preserve">, Parent shall not have any duty, as a fiduciary or otherwise, to the Rights Agent, any Holder, or any other Person in connection with its operation of the Surviving Corporation’s business following the Closing, or any obligation, express or implied, to own, operate, use, license, research, develop or otherwise commercialize, or otherwise practice, use, or exploit, a CVR Product or the assets of the Surviving Corporation’s business in any manner, including in order to maximize or expedite any Milestone Payment, or any obligation to pursue particular business opportunities, engage in particular advertising or marketing campaigns or otherwise. Parent’s obligation to use Commercially Reasonable Efforts pursuant to Section 4.3(a) shall not imply or be construed to imply any obligation on the part of Parent or its Affiliates to refrain from or cease the research, development, or commercialization of any product of Parent or its Affiliates. Except for Parent’s obligations set forth in </w:t>
      </w:r>
      <w:r>
        <w:rPr>
          <w:rFonts w:ascii="Times New Roman" w:hAnsi="Times New Roman"/>
          <w:color w:val="000000"/>
          <w:sz w:val="20"/>
          <w:u w:val="single"/>
        </w:rPr>
        <w:t>Section 4.3(a)</w:t>
      </w:r>
      <w:r>
        <w:rPr>
          <w:rFonts w:ascii="Times New Roman" w:hAnsi="Times New Roman"/>
          <w:color w:val="000000"/>
          <w:sz w:val="20"/>
        </w:rPr>
        <w:t xml:space="preserve">, the Rights Agent (on behalf of itself and on behalf of the Holders) hereby (x) disclaims reliance on any promises, projections, representations, warranties or other information, documents or materials (or absence thereof), (y) understands and agrees that any promises, representations, warranties, projections and other information, documents and materials (or absence thereof) are specifically disclaimed by Parent, and (z) waives any right it may otherwise have with respect to any promises, projections, representations, warranties or other information, documents or materials (or absence thereof). Subject to Parent’s obligations under </w:t>
      </w:r>
      <w:r>
        <w:rPr>
          <w:rFonts w:ascii="Times New Roman" w:hAnsi="Times New Roman"/>
          <w:color w:val="000000"/>
          <w:sz w:val="20"/>
          <w:u w:val="single"/>
        </w:rPr>
        <w:t>Section 4.3(a)</w:t>
      </w:r>
      <w:r>
        <w:rPr>
          <w:rFonts w:ascii="Times New Roman" w:hAnsi="Times New Roman"/>
          <w:color w:val="000000"/>
          <w:sz w:val="20"/>
        </w:rPr>
        <w:t xml:space="preserve">, Parent shall have the right (at its sole cost and expense) to manage and control its actions in fulfillment of the obligations of Parent or any other Person with respect to the achievement of a Milestone in Parent’s sole business judgment. The Parties intend the express provisions of </w:t>
      </w:r>
      <w:r>
        <w:rPr>
          <w:rFonts w:ascii="Times New Roman" w:hAnsi="Times New Roman"/>
          <w:color w:val="000000"/>
          <w:sz w:val="20"/>
          <w:u w:val="single"/>
        </w:rPr>
        <w:t>Section 4.2</w:t>
      </w:r>
      <w:r>
        <w:rPr>
          <w:rFonts w:ascii="Times New Roman" w:hAnsi="Times New Roman"/>
          <w:color w:val="000000"/>
          <w:sz w:val="20"/>
        </w:rPr>
        <w:t xml:space="preserve"> and </w:t>
      </w:r>
      <w:r>
        <w:rPr>
          <w:rFonts w:ascii="Times New Roman" w:hAnsi="Times New Roman"/>
          <w:color w:val="000000"/>
          <w:sz w:val="20"/>
          <w:u w:val="single"/>
        </w:rPr>
        <w:t>Section 4.3</w:t>
      </w:r>
      <w:r>
        <w:rPr>
          <w:rFonts w:ascii="Times New Roman" w:hAnsi="Times New Roman"/>
          <w:color w:val="000000"/>
          <w:sz w:val="20"/>
        </w:rPr>
        <w:t xml:space="preserve"> to govern their contractual relationship and to supersede any standard of efforts or implied covenant of good faith and fair dealing that might otherwise be imposed by any court or other Governmental Body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In the event that a Milestone has not yet been achieved and Parent desires to consummate a Change of Control prior to the applicable Milestone Expiration and Termination, Parent will cause the Person acquiring Parent to assume Parent’s obligations, duties and covenants under this Agreement. No later than five (5) Business Days prior to the consummation of any Change of Control, Parent will deliver to the Rights Agent an Officer’s Certificate, stating that such Change of Control complies with this </w:t>
      </w:r>
      <w:r>
        <w:rPr>
          <w:rFonts w:ascii="Times New Roman" w:hAnsi="Times New Roman"/>
          <w:color w:val="000000"/>
          <w:sz w:val="20"/>
          <w:u w:val="single"/>
        </w:rPr>
        <w:t>Section 4.3(c)</w:t>
      </w:r>
      <w:r>
        <w:rPr>
          <w:rFonts w:ascii="Times New Roman" w:hAnsi="Times New Roman"/>
          <w:color w:val="000000"/>
          <w:sz w:val="20"/>
        </w:rPr>
        <w:t xml:space="preserve"> and that all conditions precedent herein relating to such transaction have been complied with.</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(d)       During the period commencing on the 1st anniversary of the Closing Date until the earlier of (i) the achievement of all Milestone Events or (ii) the 6th anniversary of the Closing Date, with respect to each ((i)-(ii)), the Rights Agent shall have the right once per calendar year to have Parent, at the Rights Agent’s reasonable prior written request, provide the Rights Agent with a high-level written report summarizing material development activities with respect to any CVR Product for the immediately preceding calendar year. With respect to a First CVR Product, Parent shall not be obligated to provide any report after the making of the Third Milestone Payment or after the Third Milestone Expiration, and with respect to a Second CVR Product, Parent shall not be obligated to provide any report after the making of the Second Milestone Payment or after the Second Milestone Expiration.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AMENDMENTS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Section 5.1.          </w:t>
      </w:r>
      <w:r>
        <w:rPr>
          <w:rFonts w:ascii="Times New Roman" w:hAnsi="Times New Roman"/>
          <w:color w:val="000000"/>
          <w:sz w:val="20"/>
          <w:u w:val="single"/>
        </w:rPr>
        <w:t>Amendments without Consent of Holders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Without the consent of any Holders or the Rights Agent, Parent and the Surviving Corporation, at any time and from time to time, may enter into one or more amendments hereto, for any of the following purposes: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to evidence the succession of another Person to Parent and the assumption by any such successor of the covenants of Parent herein as provided in Section 6.3;</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(ii)        to add to the covenants of Parent such further covenants, restrictions, conditions or provisions as Parent and the Rights Agent will consider to be for the protection of the Holders; </w:t>
      </w:r>
      <w:r>
        <w:rPr>
          <w:rFonts w:ascii="Times New Roman" w:hAnsi="Times New Roman"/>
          <w:color w:val="000000"/>
          <w:sz w:val="20"/>
          <w:u w:val="single"/>
        </w:rPr>
        <w:t>provided</w:t>
      </w:r>
      <w:r>
        <w:rPr>
          <w:rFonts w:ascii="Times New Roman" w:hAnsi="Times New Roman"/>
          <w:color w:val="000000"/>
          <w:sz w:val="20"/>
        </w:rPr>
        <w:t xml:space="preserve"> that, in each case, such provisions do not adversely affect the interests of the Holders (as a group and in their capacity as such);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hAnsi="Times New Roman"/>
          <w:color w:val="000000"/>
          <w:sz w:val="20"/>
          <w:u w:val="single"/>
        </w:rPr>
        <w:t>provided</w:t>
      </w:r>
      <w:r>
        <w:rPr>
          <w:rFonts w:ascii="Times New Roman" w:hAnsi="Times New Roman"/>
          <w:color w:val="000000"/>
          <w:sz w:val="20"/>
        </w:rPr>
        <w:t xml:space="preserve"> that, in each case, such provisions do not adversely affect the interests of the Holders (as a group and in their capacity as such);</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(iv)        as may be necessary or appropriate to ensure that the CVRs are not subject to registration under the Securities Act of 1933, as amended, or the Securities Exchange Act of 1934, as amended, and the rules and regulations promulgated thereunder, and to ensure that the CVRs are not subject to any similar registration or prospectus requirement under applicable securities Laws outside of the United States; </w:t>
      </w:r>
      <w:r>
        <w:rPr>
          <w:rFonts w:ascii="Times New Roman" w:hAnsi="Times New Roman"/>
          <w:color w:val="000000"/>
          <w:sz w:val="20"/>
          <w:u w:val="single"/>
        </w:rPr>
        <w:t>provided</w:t>
      </w:r>
      <w:r>
        <w:rPr>
          <w:rFonts w:ascii="Times New Roman" w:hAnsi="Times New Roman"/>
          <w:color w:val="000000"/>
          <w:sz w:val="20"/>
        </w:rPr>
        <w:t xml:space="preserve"> that, in each case, such provisions do not change any Milestone, Milestone Expiration or Milestone Payment;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(v)        to evidence the succession of another Person as a successor Rights Agent and the assumption by any such successor of the covenants and obligations of the Rights Agent herein in accordance with </w:t>
      </w:r>
      <w:r>
        <w:rPr>
          <w:rFonts w:ascii="Times New Roman" w:hAnsi="Times New Roman"/>
          <w:color w:val="000000"/>
          <w:sz w:val="20"/>
          <w:u w:val="single"/>
        </w:rPr>
        <w:t>Section 3.4</w:t>
      </w:r>
      <w:r>
        <w:rPr>
          <w:rFonts w:ascii="Times New Roman" w:hAnsi="Times New Roman"/>
          <w:color w:val="000000"/>
          <w:sz w:val="20"/>
        </w:rPr>
        <w:t xml:space="preserve"> and </w:t>
      </w:r>
      <w:r>
        <w:rPr>
          <w:rFonts w:ascii="Times New Roman" w:hAnsi="Times New Roman"/>
          <w:color w:val="000000"/>
          <w:sz w:val="20"/>
          <w:u w:val="single"/>
        </w:rPr>
        <w:t>Section 3.5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(vi)        any other amendments hereto for the purpose of adding, eliminating or changing any provisions of this Agreement, unless such addition, elimination or change is adverse to the interests of the Holders (as a group and in their capacity as such); 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without the consent of any Holders, Parent and the Rights Agent, at any time and from time to time, may enter into one or more amendments hereto to reduce the number of CVRs in the event any Holder agrees to abandon or renounce such Holder’s rights under this Agreement in accordance with </w:t>
      </w:r>
      <w:r>
        <w:rPr>
          <w:rFonts w:ascii="Times New Roman" w:hAnsi="Times New Roman"/>
          <w:color w:val="000000"/>
          <w:sz w:val="20"/>
          <w:u w:val="single"/>
        </w:rPr>
        <w:t>Section 2.7</w:t>
      </w:r>
      <w:r>
        <w:rPr>
          <w:rFonts w:ascii="Times New Roman" w:hAnsi="Times New Roman"/>
          <w:color w:val="000000"/>
          <w:sz w:val="20"/>
        </w:rPr>
        <w:t xml:space="preserve"> or </w:t>
      </w:r>
      <w:r>
        <w:rPr>
          <w:rFonts w:ascii="Times New Roman" w:hAnsi="Times New Roman"/>
          <w:color w:val="000000"/>
          <w:sz w:val="20"/>
          <w:u w:val="single"/>
        </w:rPr>
        <w:t>Section 6.4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Promptly after the execution by Parent and the Rights Agent of any amendment pursuant to the provisions of this </w:t>
      </w:r>
      <w:r>
        <w:rPr>
          <w:rFonts w:ascii="Times New Roman" w:hAnsi="Times New Roman"/>
          <w:color w:val="000000"/>
          <w:sz w:val="20"/>
          <w:u w:val="single"/>
        </w:rPr>
        <w:t>Section 5.1</w:t>
      </w:r>
      <w:r>
        <w:rPr>
          <w:rFonts w:ascii="Times New Roman" w:hAnsi="Times New Roman"/>
          <w:color w:val="000000"/>
          <w:sz w:val="20"/>
        </w:rPr>
        <w:t>, Parent will mail (or cause the Rights Agent to mail) a notice thereof by first class mail to the Holders at their addresses as they appear on the CVR Register, setting forth the terms of such amendment.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5.2.          </w:t>
      </w:r>
      <w:r>
        <w:rPr>
          <w:rFonts w:ascii="Times New Roman" w:hAnsi="Times New Roman"/>
          <w:color w:val="000000"/>
          <w:sz w:val="20"/>
          <w:u w:val="single"/>
        </w:rPr>
        <w:t>Amendments with Consent of Holders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Subject to </w:t>
      </w:r>
      <w:r>
        <w:rPr>
          <w:rFonts w:ascii="Times New Roman" w:hAnsi="Times New Roman"/>
          <w:color w:val="000000"/>
          <w:sz w:val="20"/>
          <w:u w:val="single"/>
        </w:rPr>
        <w:t>Section 5.1</w:t>
      </w:r>
      <w:r>
        <w:rPr>
          <w:rFonts w:ascii="Times New Roman" w:hAnsi="Times New Roman"/>
          <w:color w:val="000000"/>
          <w:sz w:val="20"/>
        </w:rPr>
        <w:t xml:space="preserve"> (which amendments pursuant to </w:t>
      </w:r>
      <w:r>
        <w:rPr>
          <w:rFonts w:ascii="Times New Roman" w:hAnsi="Times New Roman"/>
          <w:color w:val="000000"/>
          <w:sz w:val="20"/>
          <w:u w:val="single"/>
        </w:rPr>
        <w:t>Section 5.1</w:t>
      </w:r>
      <w:r>
        <w:rPr>
          <w:rFonts w:ascii="Times New Roman" w:hAnsi="Times New Roman"/>
          <w:color w:val="000000"/>
          <w:sz w:val="20"/>
        </w:rPr>
        <w:t xml:space="preserve"> may be made without the consent of the Holders),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materially adverse to the interest of the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Promptly after the execution by Parent and the Rights Agent of any amendment pursuant to the provisions of this </w:t>
      </w:r>
      <w:r>
        <w:rPr>
          <w:rFonts w:ascii="Times New Roman" w:hAnsi="Times New Roman"/>
          <w:color w:val="000000"/>
          <w:sz w:val="20"/>
          <w:u w:val="single"/>
        </w:rPr>
        <w:t>Section 5.2</w:t>
      </w:r>
      <w:r>
        <w:rPr>
          <w:rFonts w:ascii="Times New Roman" w:hAnsi="Times New Roman"/>
          <w:color w:val="000000"/>
          <w:sz w:val="20"/>
        </w:rPr>
        <w:t>, Parent will mail (or cause the Rights Agent to mail) a notice thereof by first class mail to the Holders at their addresses as they appear on the CVR Register, setting forth such amendment.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5.3.         </w:t>
      </w:r>
      <w:r>
        <w:rPr>
          <w:rFonts w:ascii="Times New Roman" w:hAnsi="Times New Roman"/>
          <w:color w:val="000000"/>
          <w:sz w:val="20"/>
          <w:u w:val="single"/>
        </w:rPr>
        <w:t>Rights Agent Execution of Amendments</w:t>
      </w:r>
      <w:r>
        <w:rPr>
          <w:rFonts w:ascii="Times New Roman" w:hAnsi="Times New Roman"/>
          <w:color w:val="000000"/>
          <w:sz w:val="20"/>
        </w:rPr>
        <w:t xml:space="preserve">. In executing any amendment permitted by this Article V, the Rights Agent will be entitled to receive, and will be fully protected in relying upon, an opinion of counsel selected by Parent (which may include internal counsel) stating that the execution of such amendment is authorized or permitted by this Agreement. Except as provided under </w:t>
      </w:r>
      <w:r>
        <w:rPr>
          <w:rFonts w:ascii="Times New Roman" w:hAnsi="Times New Roman"/>
          <w:color w:val="000000"/>
          <w:sz w:val="20"/>
          <w:u w:val="single"/>
        </w:rPr>
        <w:t>Section 5.1</w:t>
      </w:r>
      <w:r>
        <w:rPr>
          <w:rFonts w:ascii="Times New Roman" w:hAnsi="Times New Roman"/>
          <w:color w:val="000000"/>
          <w:sz w:val="20"/>
        </w:rPr>
        <w:t>, no amendment shall be effective unless duly executed by Parent and the Rights Agent; provided, however, that no amendment shall be effective unless notice thereof has been provided to the Rights Agent. The Rights Agent may, but is not obligated to, enter into any such amendment that materially and adversely affects the Rights Agent’s own rights, privileges, covenants or duties under this Agreement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5.4.         </w:t>
      </w:r>
      <w:r>
        <w:rPr>
          <w:rFonts w:ascii="Times New Roman" w:hAnsi="Times New Roman"/>
          <w:color w:val="000000"/>
          <w:sz w:val="20"/>
          <w:u w:val="single"/>
        </w:rPr>
        <w:t>Effect of Amendments</w:t>
      </w:r>
      <w:r>
        <w:rPr>
          <w:rFonts w:ascii="Times New Roman" w:hAnsi="Times New Roman"/>
          <w:color w:val="000000"/>
          <w:sz w:val="20"/>
        </w:rPr>
        <w:t xml:space="preserve">. Upon the execution of any amendment under this </w:t>
      </w:r>
      <w:r>
        <w:rPr>
          <w:rFonts w:ascii="Times New Roman" w:hAnsi="Times New Roman"/>
          <w:color w:val="000000"/>
          <w:sz w:val="20"/>
          <w:u w:val="single"/>
        </w:rPr>
        <w:t>Article V</w:t>
      </w:r>
      <w:r>
        <w:rPr>
          <w:rFonts w:ascii="Times New Roman" w:hAnsi="Times New Roman"/>
          <w:color w:val="000000"/>
          <w:sz w:val="20"/>
        </w:rPr>
        <w:t>, this Agreement will be modified in accordance therewith, such amendment will form a part of this Agreement for all purposes and every Holder will be bound thereby.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OTHER PROVISIONS OF GENERAL APPLICATION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       </w:t>
      </w:r>
      <w:r>
        <w:rPr>
          <w:rFonts w:ascii="Times New Roman" w:hAnsi="Times New Roman"/>
          <w:color w:val="000000"/>
          <w:sz w:val="20"/>
          <w:u w:val="single"/>
        </w:rPr>
        <w:t>Notices</w:t>
      </w:r>
      <w:r>
        <w:rPr>
          <w:rFonts w:ascii="Times New Roman" w:hAnsi="Times New Roman"/>
          <w:color w:val="000000"/>
          <w:sz w:val="20"/>
        </w:rPr>
        <w:t xml:space="preserve">. All notices, requests, claims, demands and other communications hereunder must be in writing and must be given (and will be deemed to have been duly given): (a) when delivered, if delivered in Person, (b) when delivered by email, which email must state that it is being delivered pursuant to this </w:t>
      </w:r>
      <w:r>
        <w:rPr>
          <w:rFonts w:ascii="Times New Roman" w:hAnsi="Times New Roman"/>
          <w:color w:val="000000"/>
          <w:sz w:val="20"/>
          <w:u w:val="single"/>
        </w:rPr>
        <w:t>Section 6.1</w:t>
      </w:r>
      <w:r>
        <w:rPr>
          <w:rFonts w:ascii="Times New Roman" w:hAnsi="Times New Roman"/>
          <w:color w:val="000000"/>
          <w:sz w:val="20"/>
        </w:rPr>
        <w:t xml:space="preserve"> and which notice will not be effective unless either (A) a duplicate copy of such email notice is sent on the same day for next Business Day delivery, fees prepaid, via a reputable nationwide overnight courier service or (B) the receiving party delivers a written confirmation of receipt to the sender of such notice (excluding “out of office,” delivery failure or similar automated replies), (c) three (3) Business Days after sending, if sent by registered or certified mail (postage prepaid, return receipt requested) and (d) one Business Day after sending, if sent by overnight courier, in each case, to the respective parties at the following addresses (or at such other address for a party as have been specified by like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to the Rights Agent, to it at: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[_____]</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Telephone:          [_____]</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Email:          [_____]</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[_____]</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If to Parent, to it at:</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Eli Lilly and Company</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Lilly Corporate Center</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Indianapolis, Indiana 46285</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Senior Vice President and Head of Corporate Business Development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Eli Lilly and Company</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Lilly Corporate Center</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Indianapolis, Indiana 46285</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Senior Vice President - Transactions and Contracting</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Ropes &amp; Gray LLP</w:t>
      </w:r>
    </w:p>
    <w:p>
      <w:pPr>
        <w:pStyle w:val="TextBody"/>
        <w:bidi w:val="0"/>
        <w:spacing w:before="0" w:after="0"/>
        <w:ind w:left="72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Prudential Tower</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800 Boylston Street</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Boston, MA 02199</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Emily Oldshue</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Telephone:          (617) 951-7241</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6.2.     </w:t>
      </w:r>
      <w:r>
        <w:rPr>
          <w:rFonts w:ascii="Times New Roman" w:hAnsi="Times New Roman"/>
          <w:color w:val="000000"/>
          <w:sz w:val="20"/>
          <w:u w:val="single"/>
        </w:rPr>
        <w:t>Notice to Holders</w:t>
      </w:r>
      <w:r>
        <w:rPr>
          <w:rFonts w:ascii="Times New Roman" w:hAnsi="Times New Roman"/>
          <w:color w:val="000000"/>
          <w:sz w:val="20"/>
        </w:rPr>
        <w:t>.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6.3.        </w:t>
      </w:r>
      <w:r>
        <w:rPr>
          <w:rFonts w:ascii="Times New Roman" w:hAnsi="Times New Roman"/>
          <w:color w:val="000000"/>
          <w:sz w:val="20"/>
          <w:u w:val="single"/>
        </w:rPr>
        <w:t>Successors and Assigns</w:t>
      </w:r>
      <w:r>
        <w:rPr>
          <w:rFonts w:ascii="Times New Roman" w:hAnsi="Times New Roman"/>
          <w:color w:val="000000"/>
          <w:sz w:val="20"/>
        </w:rPr>
        <w:t xml:space="preserve">. Neither this Agreement nor any of the rights, interests or obligations under this Agreement shall be assigned, in whole or in part, by operation of law or otherwise by either party without the prior written consent of the other party and any purported assignment without such consent shall be void; </w:t>
      </w:r>
      <w:r>
        <w:rPr>
          <w:rFonts w:ascii="Times New Roman" w:hAnsi="Times New Roman"/>
          <w:color w:val="000000"/>
          <w:sz w:val="20"/>
          <w:u w:val="single"/>
        </w:rPr>
        <w:t>provided</w:t>
      </w:r>
      <w:r>
        <w:rPr>
          <w:rFonts w:ascii="Times New Roman" w:hAnsi="Times New Roman"/>
          <w:color w:val="000000"/>
          <w:sz w:val="20"/>
        </w:rPr>
        <w:t xml:space="preserve"> that Parent may assign, in its sole discretion, any of or all its rights, interests and obligations under this Agreement (a) to any of its direct or indirect wholly-owned subsidiaries; (b) to any purchaser, transferee, licensee, or sublicensee that is a pharmaceutical company or biotechnology company with a market capitalization of at least $3 billion or an annual consolidated revenue of at least $250 million as reflected in such company’s audited financial statements, as of the date of such assignment, of substantially all of the Intellectual Property and other rights (including, without limitation, all data, marketing authorizations and applications for marketing authorization), assets, rights, powers, privileges and Contracts, in each case, (x) held, owned or entered into by Parent or its Subsidiaries immediately after the Effective Time and (y) necessary for the production, development or sale of the CVR Products; (c) in compliance with </w:t>
      </w:r>
      <w:r>
        <w:rPr>
          <w:rFonts w:ascii="Times New Roman" w:hAnsi="Times New Roman"/>
          <w:color w:val="000000"/>
          <w:sz w:val="20"/>
          <w:u w:val="single"/>
        </w:rPr>
        <w:t>Section 4.3(c)</w:t>
      </w:r>
      <w:r>
        <w:rPr>
          <w:rFonts w:ascii="Times New Roman" w:hAnsi="Times New Roman"/>
          <w:color w:val="000000"/>
          <w:sz w:val="20"/>
        </w:rPr>
        <w:t xml:space="preserve">; (d) otherwise with the prior written consent of the Acting Holders, to any other Person (any permitted assignee under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an “</w:t>
      </w:r>
      <w:r>
        <w:rPr>
          <w:rFonts w:ascii="Times New Roman" w:hAnsi="Times New Roman"/>
          <w:color w:val="000000"/>
          <w:sz w:val="20"/>
          <w:u w:val="single"/>
        </w:rPr>
        <w:t>Assignee</w:t>
      </w:r>
      <w:r>
        <w:rPr>
          <w:rFonts w:ascii="Times New Roman" w:hAnsi="Times New Roman"/>
          <w:color w:val="000000"/>
          <w:sz w:val="20"/>
        </w:rPr>
        <w:t xml:space="preserve">”), in each case, </w:t>
      </w:r>
      <w:r>
        <w:rPr>
          <w:rFonts w:ascii="Times New Roman" w:hAnsi="Times New Roman"/>
          <w:color w:val="000000"/>
          <w:sz w:val="20"/>
          <w:u w:val="single"/>
        </w:rPr>
        <w:t>provided</w:t>
      </w:r>
      <w:r>
        <w:rPr>
          <w:rFonts w:ascii="Times New Roman" w:hAnsi="Times New Roman"/>
          <w:color w:val="000000"/>
          <w:sz w:val="20"/>
        </w:rPr>
        <w:t xml:space="preserve"> that the Assignee agrees to assume and be bound by all of the terms of this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such assignment shall not materially impede or delay the consummation of the transactions contemplated hereby or otherwise materially impede the rights of the Holders under this Agreement. Any Assignee may thereafter assign any or all of its rights, interests and obligations hereunder in the same manner as Parent pursuant to the prior sentence. In connection with any assignment to an Assignee described in </w:t>
      </w:r>
      <w:r>
        <w:rPr>
          <w:rFonts w:ascii="Times New Roman" w:hAnsi="Times New Roman"/>
          <w:color w:val="000000"/>
          <w:sz w:val="20"/>
          <w:u w:val="single"/>
        </w:rPr>
        <w:t>clauses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 in this </w:t>
      </w:r>
      <w:r>
        <w:rPr>
          <w:rFonts w:ascii="Times New Roman" w:hAnsi="Times New Roman"/>
          <w:color w:val="000000"/>
          <w:sz w:val="20"/>
          <w:u w:val="single"/>
        </w:rPr>
        <w:t>Section 6.3</w:t>
      </w:r>
      <w:r>
        <w:rPr>
          <w:rFonts w:ascii="Times New Roman" w:hAnsi="Times New Roman"/>
          <w:color w:val="000000"/>
          <w:sz w:val="20"/>
        </w:rPr>
        <w:t xml:space="preserve">, Parent (and any subsequent assignor) shall agree to remain liable for the performance by each Assignee (and such other assignor, if applicable) of all obligations of Parent hereunder with such Assignee substituted for Parent under this Agreement. Subject to the preceding sentences, this Agreement will be binding upon, inure to the benefit of, and be enforceable by the parties and their respective permitted successors and assigns. Subject to compliance with the requirements set forth in this </w:t>
      </w:r>
      <w:r>
        <w:rPr>
          <w:rFonts w:ascii="Times New Roman" w:hAnsi="Times New Roman"/>
          <w:color w:val="000000"/>
          <w:sz w:val="20"/>
          <w:u w:val="single"/>
        </w:rPr>
        <w:t>Section 6.3</w:t>
      </w:r>
      <w:r>
        <w:rPr>
          <w:rFonts w:ascii="Times New Roman" w:hAnsi="Times New Roman"/>
          <w:color w:val="000000"/>
          <w:sz w:val="20"/>
        </w:rPr>
        <w:t xml:space="preserve"> relating to assignments and </w:t>
      </w:r>
      <w:r>
        <w:rPr>
          <w:rFonts w:ascii="Times New Roman" w:hAnsi="Times New Roman"/>
          <w:color w:val="000000"/>
          <w:sz w:val="20"/>
          <w:u w:val="single"/>
        </w:rPr>
        <w:t>Section 4.3(c)</w:t>
      </w:r>
      <w:r>
        <w:rPr>
          <w:rFonts w:ascii="Times New Roman" w:hAnsi="Times New Roman"/>
          <w:color w:val="000000"/>
          <w:sz w:val="20"/>
        </w:rPr>
        <w:t>, this Agreement shall not restrict Parent’s, any Assignee’s or any of their respective successors’ ability to merge or consolidate with, or sell, issue, license or dispose of its stock or other equity interests or assets to, any other Person, or spin-off or split-off. Each of Parent’s successors and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6.4.      </w:t>
      </w:r>
      <w:r>
        <w:rPr>
          <w:rFonts w:ascii="Times New Roman" w:hAnsi="Times New Roman"/>
          <w:color w:val="000000"/>
          <w:sz w:val="20"/>
          <w:u w:val="single"/>
        </w:rPr>
        <w:t>Benefits of Agreement</w:t>
      </w:r>
      <w:r>
        <w:rPr>
          <w:rFonts w:ascii="Times New Roman" w:hAnsi="Times New Roman"/>
          <w:color w:val="000000"/>
          <w:sz w:val="20"/>
        </w:rPr>
        <w:t>. Nothing in this Agreement, express or implied, will give to any Person (other than the Rights Agent, Parent, Parent’s successors and Assignees, the Holders and the Holders’ successors and assigns pursuant to a Permitted CVR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CVR Transfers are limited to those expressly provided in this Agreement. Notwithstanding anything to the contrary contained herein, any Holder or Holder’s successor or assign pursuant to a Permitted CVR Transfer may agree to renounce, in whole or in part, its rights under this Agreement by written notice to the Rights Agent and Parent, which notice, if given, shall be irrevocable. Except for the rights of the Rights Agent set forth herein, the Acting Holders will have the sole right, on behalf of all Holders, by virtue of or under any provision of this Agreement, to institute any action or proceeding with respect to this Agreement, and no individual Holder or other group of Holders will be entitled to exercise such rights (</w:t>
      </w:r>
      <w:r>
        <w:rPr>
          <w:rFonts w:ascii="Times New Roman" w:hAnsi="Times New Roman"/>
          <w:color w:val="000000"/>
          <w:sz w:val="20"/>
          <w:u w:val="single"/>
        </w:rPr>
        <w:t>provided</w:t>
      </w:r>
      <w:r>
        <w:rPr>
          <w:rFonts w:ascii="Times New Roman" w:hAnsi="Times New Roman"/>
          <w:color w:val="000000"/>
          <w:sz w:val="20"/>
        </w:rPr>
        <w:t xml:space="preserve"> that the foregoing shall not limit the ability of an individual Holder to seek a payment due from the applicable party pursuant to </w:t>
      </w:r>
      <w:r>
        <w:rPr>
          <w:rFonts w:ascii="Times New Roman" w:hAnsi="Times New Roman"/>
          <w:color w:val="000000"/>
          <w:sz w:val="20"/>
          <w:u w:val="single"/>
        </w:rPr>
        <w:t>Section 4.2</w:t>
      </w:r>
      <w:r>
        <w:rPr>
          <w:rFonts w:ascii="Times New Roman" w:hAnsi="Times New Roman"/>
          <w:color w:val="000000"/>
          <w:sz w:val="20"/>
        </w:rPr>
        <w:t xml:space="preserve"> solely to the extent such payment, and the amount of such payment, has been finally determined to be due and payable in accordance with this Agreement and has not been paid within the period contemplated by this Agreement). The Holders shall not be entitled to specific enforcement of </w:t>
      </w:r>
      <w:r>
        <w:rPr>
          <w:rFonts w:ascii="Times New Roman" w:hAnsi="Times New Roman"/>
          <w:color w:val="000000"/>
          <w:sz w:val="20"/>
          <w:u w:val="single"/>
        </w:rPr>
        <w:t>Section 4.3</w:t>
      </w:r>
      <w:r>
        <w:rPr>
          <w:rFonts w:ascii="Times New Roman" w:hAnsi="Times New Roman"/>
          <w:color w:val="000000"/>
          <w:sz w:val="20"/>
        </w:rPr>
        <w:t>. Reasonable expenditures incurred by such Holders in connection with any enforcement action hereunder may be deducted from any damages or settlement obtained prior to the distribution of any remainder to Holders generally. The Holders acting pursuant to this provision on behalf of all Holders shall have no liability to the other Holders for such 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6.5.         </w:t>
      </w:r>
      <w:r>
        <w:rPr>
          <w:rFonts w:ascii="Times New Roman" w:hAnsi="Times New Roman"/>
          <w:color w:val="000000"/>
          <w:sz w:val="20"/>
          <w:u w:val="single"/>
        </w:rPr>
        <w:t>Governing Law; Jurisdiction; Waiver of Jury Trial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This Agreement will be governed by, and construed in accordance with, the Laws of the State of Delaware, regardless of the Laws that might otherwise govern under applicable principles of conflicts of laws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Each of the parties hereto hereby (i) expressly and irrevocably submits to the exclusive personal jurisdiction of the Court of Chancery of the State of Delaware or if such Court of Chancery lacks subject matter jurisdiction, the United States District Court for the District of Delaware, in the event any dispute arises out of this Agreement or the transactions contemplated hereby, (ii) agrees that it shall not attempt to deny or defeat such personal jurisdiction by motion or other request for leave from any such court and (iii) agrees that it shall not bring any action relating to this Agreement or the transactions contemplated hereby in any court other than the Court of Chancery of the State of Delaware or if such Court of Chancery lacks subject matter jurisdiction, the United States District Court for the District of Delaware; </w:t>
      </w:r>
      <w:r>
        <w:rPr>
          <w:rFonts w:ascii="Times New Roman" w:hAnsi="Times New Roman"/>
          <w:color w:val="000000"/>
          <w:sz w:val="20"/>
          <w:u w:val="single"/>
        </w:rPr>
        <w:t>provided</w:t>
      </w:r>
      <w:r>
        <w:rPr>
          <w:rFonts w:ascii="Times New Roman" w:hAnsi="Times New Roman"/>
          <w:color w:val="000000"/>
          <w:sz w:val="20"/>
        </w:rPr>
        <w:t xml:space="preserve"> that each of the parties has the right to bring any action or proceeding for enforcement of a judgment entered by such court in any other court or jurisdiction.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EACH PARTY HERETO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 </w:t>
      </w:r>
      <w:r>
        <w:rPr>
          <w:rFonts w:ascii="Times New Roman" w:hAnsi="Times New Roman"/>
          <w:color w:val="000000"/>
          <w:sz w:val="20"/>
          <w:u w:val="single"/>
        </w:rPr>
        <w:t>6.5(c)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In the event of any litigation or other proceeding between the parties to this Agreement arising out of or in any way related to a Milestone or payment thereof, the prevailing party in such litigation or other proceeding shall be entitled to recover its reasonable attorneys’ fees, costs and expenses incurred in connection with such litigation or other proceeding, in addition to any other relief to which such party may be entitled;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event will any party to this Agreement be required to pay any contingency based attorneys’ fees.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6.6.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so that the terms hereof, and the transactions contemplated hereby, are fulfilled to the fullest extent possible.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6.7.         </w:t>
      </w:r>
      <w:r>
        <w:rPr>
          <w:rFonts w:ascii="Times New Roman" w:hAnsi="Times New Roman"/>
          <w:color w:val="000000"/>
          <w:sz w:val="20"/>
          <w:u w:val="single"/>
        </w:rPr>
        <w:t>Counterparts</w:t>
      </w:r>
      <w:r>
        <w:rPr>
          <w:rFonts w:ascii="Times New Roman" w:hAnsi="Times New Roman"/>
          <w:color w:val="000000"/>
          <w:sz w:val="20"/>
        </w:rPr>
        <w:t>. This Agreement may be executed and delivered (including by executed signatures in electronic format (including “pdf”) and other electronic signatures (including DocuSign and AdobeSign) in each case transmitted by email) in two (2) or more counterparts, and by the different parties hereto in separate counterparts, each of which when executed will be deemed to be an original but all of which taken together will constitute one and the same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6.8.        </w:t>
      </w:r>
      <w:r>
        <w:rPr>
          <w:rFonts w:ascii="Times New Roman" w:hAnsi="Times New Roman"/>
          <w:color w:val="000000"/>
          <w:sz w:val="20"/>
          <w:u w:val="single"/>
        </w:rPr>
        <w:t>Termination</w:t>
      </w:r>
      <w:r>
        <w:rPr>
          <w:rFonts w:ascii="Times New Roman" w:hAnsi="Times New Roman"/>
          <w:color w:val="000000"/>
          <w:sz w:val="20"/>
        </w:rPr>
        <w:t xml:space="preserve">. This Agreement will automatically terminate and be of no force or effect, the parties hereto will have no liability or obligations hereunder (other than with respect to monies due and owing by Parent to the Rights Agent in respect of the Rights Agent’s services hereunder and any services to be performed by the Rights Agent under </w:t>
      </w:r>
      <w:r>
        <w:rPr>
          <w:rFonts w:ascii="Times New Roman" w:hAnsi="Times New Roman"/>
          <w:color w:val="000000"/>
          <w:sz w:val="20"/>
          <w:u w:val="single"/>
        </w:rPr>
        <w:t>Section 2.4(f)</w:t>
      </w:r>
      <w:r>
        <w:rPr>
          <w:rFonts w:ascii="Times New Roman" w:hAnsi="Times New Roman"/>
          <w:color w:val="000000"/>
          <w:sz w:val="20"/>
        </w:rPr>
        <w:t xml:space="preserve"> hereof), and no payments will be required to be made, upon the earliest to occur of (such time, the “</w:t>
      </w:r>
      <w:r>
        <w:rPr>
          <w:rFonts w:ascii="Times New Roman" w:hAnsi="Times New Roman"/>
          <w:color w:val="000000"/>
          <w:sz w:val="20"/>
          <w:u w:val="single"/>
        </w:rPr>
        <w:t>Termination</w:t>
      </w:r>
      <w:r>
        <w:rPr>
          <w:rFonts w:ascii="Times New Roman" w:hAnsi="Times New Roman"/>
          <w:color w:val="000000"/>
          <w:sz w:val="20"/>
        </w:rPr>
        <w:t xml:space="preserve">”) (a) the date that is the latest of the First Milestone Expiration, the Second Milestone Expiration, and the Third Milestone Expiration, (b) (i) the mailing by the Rights Agent to the address or (ii) the payment by the Rights Agent by wire transfer of immediately available funds to the account of each Holder as reflected in the CVR Register the last of the Milestone Payment Amounts (if any) required to be paid under the terms of this Agreement, and (c) the delivery of a written notice of termination duly executed by Parent and the Acting Holders. For the avoidance of doubt, the right of any Holder to receive a Milestone Payment with respect to a Milestone, and any covenants and obligations of Parent (other than pursuant to Section 2.4(d)), shall be irrevocably terminated and extinguished if such Milestone is not achieved before Termination. Notwithstanding the foregoing, no termination shall affect any rights, obligations or liabilities accrued prior to the effective date of such termination or </w:t>
      </w:r>
      <w:r>
        <w:rPr>
          <w:rFonts w:ascii="Times New Roman" w:hAnsi="Times New Roman"/>
          <w:color w:val="000000"/>
          <w:sz w:val="20"/>
          <w:u w:val="single"/>
        </w:rPr>
        <w:t>Sections 6.4, 6.5, 6.6, 6.7, 6.9, 6.13</w:t>
      </w:r>
      <w:r>
        <w:rPr>
          <w:rFonts w:ascii="Times New Roman" w:hAnsi="Times New Roman"/>
          <w:color w:val="000000"/>
          <w:sz w:val="20"/>
        </w:rPr>
        <w:t xml:space="preserve"> or this </w:t>
      </w:r>
      <w:r>
        <w:rPr>
          <w:rFonts w:ascii="Times New Roman" w:hAnsi="Times New Roman"/>
          <w:color w:val="000000"/>
          <w:sz w:val="20"/>
          <w:u w:val="single"/>
        </w:rPr>
        <w:t>Section 6.8</w:t>
      </w:r>
      <w:r>
        <w:rPr>
          <w:rFonts w:ascii="Times New Roman" w:hAnsi="Times New Roman"/>
          <w:color w:val="000000"/>
          <w:sz w:val="20"/>
        </w:rPr>
        <w:t>, which shall survive the termination of this Agreement, cancellation of the CVRs or the resignation, replacement or removal of the Rights Agent.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6.9.       </w:t>
      </w:r>
      <w:r>
        <w:rPr>
          <w:rFonts w:ascii="Times New Roman" w:hAnsi="Times New Roman"/>
          <w:color w:val="000000"/>
          <w:sz w:val="20"/>
          <w:u w:val="single"/>
        </w:rPr>
        <w:t>Entire Agreement</w:t>
      </w:r>
      <w:r>
        <w:rPr>
          <w:rFonts w:ascii="Times New Roman" w:hAnsi="Times New Roman"/>
          <w:color w:val="000000"/>
          <w:sz w:val="20"/>
        </w:rPr>
        <w:t>. As among Parent and the Holders, this Agreement and the Merger Agreement (including the schedules, annexes and exhibits thereto and the documents and instruments referred to therein) constitute the entire understanding of Parent and the Holders with respect to the subject matter contemplated hereby and supersede all prior agreements, written or oral, among the parties with respect to the subject matter hereof. As among Parent and the Holders, if and to the extent that any provision of this Agreement is inconsistent or conflicts with the Merger Agreement, then solely with respect to CVR matters only, this Agreement will govern and be controlling, and the Merger Agreement shall govern and be controlling with respect to all matters unrelated to the CVRs. As between Parent and the Rights Agent, this Agreement and any schedule or exhibit attached hereto contains the entire understanding of such parties with reference to the transactions and matters contemplated hereby and supersedes all prior agreements, written or oral, among the parties with respect hereto and thereto. If and to the extent that any provision of this Agreement is inconsistent or conflicts with the Merger Agreement with respect to the rights, obligations, duties, protections and liabilities of the Rights Agent, this Agreement will govern and be controlling.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6.10.       </w:t>
      </w:r>
      <w:r>
        <w:rPr>
          <w:rFonts w:ascii="Times New Roman" w:hAnsi="Times New Roman"/>
          <w:color w:val="000000"/>
          <w:sz w:val="20"/>
          <w:u w:val="single"/>
        </w:rPr>
        <w:t>Further Assurances</w:t>
      </w:r>
      <w:r>
        <w:rPr>
          <w:rFonts w:ascii="Times New Roman" w:hAnsi="Times New Roman"/>
          <w:color w:val="000000"/>
          <w:sz w:val="20"/>
        </w:rPr>
        <w:t>. Subject to the provisions of this Agreement, Parent and the Rights Agent will, from time to time, do all commercially reasonable acts and things and execute and deliver all such further documents and instruments, as Parent and the Rights Agent may reasonably require for the carrying out or performing by the Rights Agent of the provisions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6.11.     </w:t>
      </w:r>
      <w:r>
        <w:rPr>
          <w:rFonts w:ascii="Times New Roman" w:hAnsi="Times New Roman"/>
          <w:color w:val="000000"/>
          <w:sz w:val="20"/>
          <w:u w:val="single"/>
        </w:rPr>
        <w:t>Force Majeure</w:t>
      </w:r>
      <w:r>
        <w:rPr>
          <w:rFonts w:ascii="Times New Roman" w:hAnsi="Times New Roman"/>
          <w:color w:val="000000"/>
          <w:sz w:val="20"/>
        </w:rPr>
        <w:t>.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shortage of supply, breakdowns or malfunctions, interruptions or malfunctions of computer facilities, or loss of data due to power failures or mechanical difficulties with information storage or retrieval systems, labor disputes, strikes, or shortages, war or civil unrest, it being understood that such parties shall use commercially reasonable efforts to resume performance as soon as reasonably practicable under the circumstances.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6.12.    </w:t>
      </w:r>
      <w:r>
        <w:rPr>
          <w:rFonts w:ascii="Times New Roman" w:hAnsi="Times New Roman"/>
          <w:color w:val="000000"/>
          <w:sz w:val="20"/>
          <w:u w:val="single"/>
        </w:rPr>
        <w:t>Legal Holiday</w:t>
      </w:r>
      <w:r>
        <w:rPr>
          <w:rFonts w:ascii="Times New Roman" w:hAnsi="Times New Roman"/>
          <w:color w:val="000000"/>
          <w:sz w:val="20"/>
        </w:rPr>
        <w:t>. In the event that a Milestone Payment Date shall not be a Business Day, then, notwithstanding any provision of this Agreement to the contrary, any payment required to be made in respect of the CVRs on such date need not be made on such date, but may be made on the next succeeding Business Day with the same force and effect as if made on such Milestone Payment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6.13.      </w:t>
      </w:r>
      <w:r>
        <w:rPr>
          <w:rFonts w:ascii="Times New Roman" w:hAnsi="Times New Roman"/>
          <w:color w:val="000000"/>
          <w:sz w:val="20"/>
          <w:u w:val="single"/>
        </w:rPr>
        <w:t>Confidentiality</w:t>
      </w:r>
      <w:r>
        <w:rPr>
          <w:rFonts w:ascii="Times New Roman" w:hAnsi="Times New Roman"/>
          <w:color w:val="000000"/>
          <w:sz w:val="20"/>
        </w:rPr>
        <w:t xml:space="preserve">. The Rights Agent and Parent agree that all books, records, information and data pertaining to the business of the other party that are exchanged or received pursuant to the negotiation or the carrying out of this Agreement shall remain confidential, and shall not be voluntarily disclosed to any other person, except as may be required by a valid order of a Governmental Body of competent jurisdiction or as is otherwise required by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Rights Agent may share reports received by the Rights Agent pursuant to </w:t>
      </w:r>
      <w:r>
        <w:rPr>
          <w:rFonts w:ascii="Times New Roman" w:hAnsi="Times New Roman"/>
          <w:color w:val="000000"/>
          <w:sz w:val="20"/>
          <w:u w:val="single"/>
        </w:rPr>
        <w:t>Section 4.3(d)</w:t>
      </w:r>
      <w:r>
        <w:rPr>
          <w:rFonts w:ascii="Times New Roman" w:hAnsi="Times New Roman"/>
          <w:color w:val="000000"/>
          <w:sz w:val="20"/>
        </w:rPr>
        <w:t xml:space="preserve"> with the Acting Holders provided such Acting Holders have agreed to be bound by the confidentiality restrictions of this </w:t>
      </w:r>
      <w:r>
        <w:rPr>
          <w:rFonts w:ascii="Times New Roman" w:hAnsi="Times New Roman"/>
          <w:color w:val="000000"/>
          <w:sz w:val="20"/>
          <w:u w:val="single"/>
        </w:rPr>
        <w:t>Section 6.13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Left Blank Intentionally</w:t>
      </w:r>
      <w:r>
        <w:rPr>
          <w:rFonts w:ascii="Times New Roman" w:hAnsi="Times New Roman"/>
          <w:color w:val="000000"/>
          <w:sz w:val="20"/>
        </w:rPr>
        <w:t>]</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the parties has caused this Agreement to be executed on its behalf by its duly authorized officers as of the day and year first above written.</w:t>
      </w:r>
    </w:p>
    <w:p>
      <w:pPr>
        <w:pStyle w:val="TextBody"/>
        <w:bidi w:val="0"/>
        <w:spacing w:before="0" w:after="0"/>
        <w:jc w:val="left"/>
        <w:rPr>
          <w:color w:val="000000"/>
        </w:rPr>
      </w:pPr>
      <w:r>
        <w:rPr>
          <w:color w:val="000000"/>
        </w:rPr>
        <w:t> </w:t>
      </w:r>
    </w:p>
    <w:tbl>
      <w:tblPr>
        <w:tblW w:w="3109" w:type="dxa"/>
        <w:jc w:val="left"/>
        <w:tblInd w:w="0" w:type="dxa"/>
        <w:tblLayout w:type="fixed"/>
        <w:tblCellMar>
          <w:top w:w="0" w:type="dxa"/>
          <w:left w:w="0" w:type="dxa"/>
          <w:bottom w:w="0" w:type="dxa"/>
          <w:right w:w="0" w:type="dxa"/>
        </w:tblCellMar>
      </w:tblPr>
      <w:tblGrid>
        <w:gridCol w:w="2766"/>
        <w:gridCol w:w="283"/>
        <w:gridCol w:w="60"/>
      </w:tblGrid>
      <w:tr>
        <w:trPr/>
        <w:tc>
          <w:tcPr>
            <w:tcW w:w="3049" w:type="dxa"/>
            <w:gridSpan w:val="2"/>
            <w:tcBorders/>
            <w:vAlign w:val="center"/>
          </w:tcPr>
          <w:p>
            <w:pPr>
              <w:pStyle w:val="TableContents"/>
              <w:bidi w:val="0"/>
              <w:spacing w:before="0" w:after="0"/>
              <w:jc w:val="left"/>
              <w:rPr/>
            </w:pPr>
            <w:r>
              <w:rPr/>
              <w:t>ELI LILLY AND COMPANY</w:t>
            </w:r>
          </w:p>
        </w:tc>
        <w:tc>
          <w:tcPr>
            <w:tcW w:w="60" w:type="dxa"/>
            <w:tcBorders/>
            <w:vAlign w:val="center"/>
          </w:tcPr>
          <w:p>
            <w:pPr>
              <w:pStyle w:val="TableContents"/>
              <w:bidi w:val="0"/>
              <w:spacing w:before="0" w:after="283"/>
              <w:jc w:val="left"/>
              <w:rPr/>
            </w:pPr>
            <w:r>
              <w:rPr/>
              <w:t> </w:t>
            </w:r>
          </w:p>
        </w:tc>
      </w:tr>
      <w:tr>
        <w:trPr/>
        <w:tc>
          <w:tcPr>
            <w:tcW w:w="2766"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6" w:type="dxa"/>
            <w:tcBorders/>
            <w:vAlign w:val="center"/>
          </w:tcPr>
          <w:p>
            <w:pPr>
              <w:pStyle w:val="TableContents"/>
              <w:bidi w:val="0"/>
              <w:spacing w:before="0" w:after="0"/>
              <w:jc w:val="left"/>
              <w:rPr/>
            </w:pPr>
            <w:r>
              <w:rPr/>
              <w:t>By:</w:t>
            </w:r>
          </w:p>
        </w:tc>
        <w:tc>
          <w:tcPr>
            <w:tcW w:w="2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6" w:type="dxa"/>
            <w:tcBorders/>
            <w:vAlign w:val="center"/>
          </w:tcPr>
          <w:p>
            <w:pPr>
              <w:pStyle w:val="TableContents"/>
              <w:bidi w:val="0"/>
              <w:spacing w:before="0" w:after="0"/>
              <w:jc w:val="left"/>
              <w:rPr/>
            </w:pPr>
            <w:r>
              <w:rPr/>
              <w:t>Name:</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6" w:type="dxa"/>
            <w:tcBorders/>
            <w:vAlign w:val="center"/>
          </w:tcPr>
          <w:p>
            <w:pPr>
              <w:pStyle w:val="TableContents"/>
              <w:bidi w:val="0"/>
              <w:spacing w:before="0" w:after="0"/>
              <w:jc w:val="left"/>
              <w:rPr/>
            </w:pPr>
            <w:r>
              <w:rPr/>
              <w:t>Title:</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Contingent Value Rights Agreement</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the parties has caused this Agreement to be executed on its behalf by its duly authorized officers as of the day and year first above written.</w:t>
      </w:r>
    </w:p>
    <w:p>
      <w:pPr>
        <w:pStyle w:val="TextBody"/>
        <w:bidi w:val="0"/>
        <w:spacing w:before="0" w:after="0"/>
        <w:jc w:val="left"/>
        <w:rPr>
          <w:color w:val="000000"/>
        </w:rPr>
      </w:pPr>
      <w:r>
        <w:rPr>
          <w:color w:val="000000"/>
        </w:rPr>
        <w:t> </w:t>
      </w:r>
    </w:p>
    <w:p>
      <w:pPr>
        <w:pStyle w:val="TextBody"/>
        <w:bidi w:val="0"/>
        <w:spacing w:before="0" w:after="0"/>
        <w:jc w:val="left"/>
        <w:rPr/>
      </w:pPr>
      <w:r>
        <w:rPr/>
      </w:r>
    </w:p>
    <w:tbl>
      <w:tblPr>
        <w:tblW w:w="2044" w:type="dxa"/>
        <w:jc w:val="left"/>
        <w:tblInd w:w="0" w:type="dxa"/>
        <w:tblLayout w:type="fixed"/>
        <w:tblCellMar>
          <w:top w:w="0" w:type="dxa"/>
          <w:left w:w="0" w:type="dxa"/>
          <w:bottom w:w="0" w:type="dxa"/>
          <w:right w:w="0" w:type="dxa"/>
        </w:tblCellMar>
      </w:tblPr>
      <w:tblGrid>
        <w:gridCol w:w="1791"/>
        <w:gridCol w:w="178"/>
        <w:gridCol w:w="75"/>
      </w:tblGrid>
      <w:tr>
        <w:trPr/>
        <w:tc>
          <w:tcPr>
            <w:tcW w:w="1969" w:type="dxa"/>
            <w:gridSpan w:val="2"/>
            <w:tcBorders/>
            <w:vAlign w:val="center"/>
          </w:tcPr>
          <w:p>
            <w:pPr>
              <w:pStyle w:val="TableContents"/>
              <w:bidi w:val="0"/>
              <w:spacing w:before="0" w:after="0"/>
              <w:jc w:val="left"/>
              <w:rPr/>
            </w:pPr>
            <w:r>
              <w:rPr/>
              <w:t>[RIGHTS AGENT]</w:t>
            </w:r>
          </w:p>
        </w:tc>
        <w:tc>
          <w:tcPr>
            <w:tcW w:w="75" w:type="dxa"/>
            <w:tcBorders/>
            <w:vAlign w:val="center"/>
          </w:tcPr>
          <w:p>
            <w:pPr>
              <w:pStyle w:val="TableContents"/>
              <w:bidi w:val="0"/>
              <w:spacing w:before="0" w:after="283"/>
              <w:jc w:val="left"/>
              <w:rPr/>
            </w:pPr>
            <w:r>
              <w:rPr/>
              <w:t> </w:t>
            </w:r>
          </w:p>
        </w:tc>
      </w:tr>
      <w:tr>
        <w:trPr/>
        <w:tc>
          <w:tcPr>
            <w:tcW w:w="179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1" w:type="dxa"/>
            <w:tcBorders/>
            <w:vAlign w:val="center"/>
          </w:tcPr>
          <w:p>
            <w:pPr>
              <w:pStyle w:val="TableContents"/>
              <w:bidi w:val="0"/>
              <w:spacing w:before="0" w:after="0"/>
              <w:jc w:val="left"/>
              <w:rPr/>
            </w:pPr>
            <w:r>
              <w:rPr/>
              <w:t>By:</w:t>
            </w:r>
          </w:p>
        </w:tc>
        <w:tc>
          <w:tcPr>
            <w:tcW w:w="178" w:type="dxa"/>
            <w:tcBorders>
              <w:bottom w:val="single" w:sz="12" w:space="0" w:color="000000"/>
            </w:tcBorders>
            <w:tcMar>
              <w:bottom w:w="28" w:type="dxa"/>
            </w:tcMar>
            <w:vAlign w:val="center"/>
          </w:tcPr>
          <w:p>
            <w:pPr>
              <w:pStyle w:val="TableContents"/>
              <w:bidi w:val="0"/>
              <w:spacing w:before="0" w:after="283"/>
              <w:jc w:val="left"/>
              <w:rPr/>
            </w:pPr>
            <w:r>
              <w:rPr/>
            </w:r>
          </w:p>
        </w:tc>
        <w:tc>
          <w:tcPr>
            <w:tcW w:w="75" w:type="dxa"/>
            <w:tcBorders/>
            <w:vAlign w:val="center"/>
          </w:tcPr>
          <w:p>
            <w:pPr>
              <w:pStyle w:val="TableContents"/>
              <w:bidi w:val="0"/>
              <w:spacing w:before="0" w:after="283"/>
              <w:jc w:val="left"/>
              <w:rPr/>
            </w:pPr>
            <w:r>
              <w:rPr/>
              <w:t> </w:t>
            </w:r>
          </w:p>
        </w:tc>
      </w:tr>
      <w:tr>
        <w:trPr/>
        <w:tc>
          <w:tcPr>
            <w:tcW w:w="1791" w:type="dxa"/>
            <w:tcBorders/>
            <w:vAlign w:val="center"/>
          </w:tcPr>
          <w:p>
            <w:pPr>
              <w:pStyle w:val="TableContents"/>
              <w:bidi w:val="0"/>
              <w:spacing w:before="0" w:after="0"/>
              <w:jc w:val="left"/>
              <w:rPr/>
            </w:pPr>
            <w:r>
              <w:rPr/>
              <w:t>Name:</w:t>
            </w:r>
          </w:p>
        </w:tc>
        <w:tc>
          <w:tcPr>
            <w:tcW w:w="17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1" w:type="dxa"/>
            <w:tcBorders/>
            <w:vAlign w:val="center"/>
          </w:tcPr>
          <w:p>
            <w:pPr>
              <w:pStyle w:val="TableContents"/>
              <w:bidi w:val="0"/>
              <w:spacing w:before="0" w:after="0"/>
              <w:jc w:val="left"/>
              <w:rPr/>
            </w:pPr>
            <w:r>
              <w:rPr/>
              <w:t>Title:</w:t>
            </w:r>
          </w:p>
        </w:tc>
        <w:tc>
          <w:tcPr>
            <w:tcW w:w="17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Contingent Value Rights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5" w:name="Exhibit10.1"/>
      <w:bookmarkEnd w:id="5"/>
      <w:r>
        <w:rPr>
          <w:rFonts w:ascii="Times New Roman" w:hAnsi="Times New Roman"/>
          <w:b/>
          <w:color w:val="000000"/>
          <w:sz w:val="20"/>
        </w:rPr>
        <w:t>Exhibit 10.1</w:t>
      </w:r>
    </w:p>
    <w:p>
      <w:pPr>
        <w:pStyle w:val="TextBody"/>
        <w:bidi w:val="0"/>
        <w:spacing w:before="0" w:after="0"/>
        <w:jc w:val="left"/>
        <w:rPr/>
      </w:pPr>
      <w:r>
        <w:rPr/>
      </w:r>
    </w:p>
    <w:p>
      <w:pPr>
        <w:pStyle w:val="TextBody"/>
        <w:bidi w:val="0"/>
        <w:spacing w:before="0" w:after="0"/>
        <w:jc w:val="right"/>
        <w:rPr>
          <w:rFonts w:ascii="Times New Roman" w:hAnsi="Times New Roman"/>
          <w:i/>
          <w:color w:val="000000"/>
          <w:sz w:val="20"/>
        </w:rPr>
      </w:pPr>
      <w:r>
        <w:rPr>
          <w:rFonts w:ascii="Times New Roman" w:hAnsi="Times New Roman"/>
          <w:i/>
          <w:color w:val="000000"/>
          <w:sz w:val="20"/>
        </w:rPr>
        <w:t>Execution Version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VOTING AND SUPPORT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 xml:space="preserve">THIS VOTING AND SUPPORT AGREEMENT </w:t>
      </w:r>
      <w:r>
        <w:rPr>
          <w:rFonts w:ascii="Times New Roman" w:hAnsi="Times New Roman"/>
          <w:color w:val="000000"/>
          <w:sz w:val="20"/>
        </w:rPr>
        <w:t>(this “</w:t>
      </w:r>
      <w:r>
        <w:rPr>
          <w:rFonts w:ascii="Times New Roman" w:hAnsi="Times New Roman"/>
          <w:color w:val="000000"/>
          <w:sz w:val="20"/>
          <w:u w:val="single"/>
        </w:rPr>
        <w:t>Agreement</w:t>
      </w:r>
      <w:r>
        <w:rPr>
          <w:rFonts w:ascii="Times New Roman" w:hAnsi="Times New Roman"/>
          <w:color w:val="000000"/>
          <w:sz w:val="20"/>
        </w:rPr>
        <w:t>”) is made and entered into as of July 15, 2026, by and between Eli Lilly and Company, an Indiana corporation (“</w:t>
      </w:r>
      <w:r>
        <w:rPr>
          <w:rFonts w:ascii="Times New Roman" w:hAnsi="Times New Roman"/>
          <w:color w:val="000000"/>
          <w:sz w:val="20"/>
          <w:u w:val="single"/>
        </w:rPr>
        <w:t>Parent</w:t>
      </w:r>
      <w:r>
        <w:rPr>
          <w:rFonts w:ascii="Times New Roman" w:hAnsi="Times New Roman"/>
          <w:color w:val="000000"/>
          <w:sz w:val="20"/>
        </w:rPr>
        <w:t>”), and the undersigned holder (the “</w:t>
      </w:r>
      <w:r>
        <w:rPr>
          <w:rFonts w:ascii="Times New Roman" w:hAnsi="Times New Roman"/>
          <w:color w:val="000000"/>
          <w:sz w:val="20"/>
          <w:u w:val="single"/>
        </w:rPr>
        <w:t>Stockholder</w:t>
      </w:r>
      <w:r>
        <w:rPr>
          <w:rFonts w:ascii="Times New Roman" w:hAnsi="Times New Roman"/>
          <w:color w:val="000000"/>
          <w:sz w:val="20"/>
        </w:rPr>
        <w:t>”) of common stock, par value $0.01 per share, of AtaiBeckley Inc., a Delaware corporation (the “</w:t>
      </w:r>
      <w:r>
        <w:rPr>
          <w:rFonts w:ascii="Times New Roman" w:hAnsi="Times New Roman"/>
          <w:color w:val="000000"/>
          <w:sz w:val="20"/>
          <w:u w:val="single"/>
        </w:rPr>
        <w:t>Company</w:t>
      </w:r>
      <w:r>
        <w:rPr>
          <w:rFonts w:ascii="Times New Roman" w:hAnsi="Times New Roman"/>
          <w:color w:val="000000"/>
          <w:sz w:val="20"/>
        </w:rPr>
        <w:t>”, and such shares of common stock, the “</w:t>
      </w:r>
      <w:r>
        <w:rPr>
          <w:rFonts w:ascii="Times New Roman" w:hAnsi="Times New Roman"/>
          <w:color w:val="000000"/>
          <w:sz w:val="20"/>
          <w:u w:val="single"/>
        </w:rPr>
        <w:t>Company Shares</w:t>
      </w:r>
      <w:r>
        <w:rPr>
          <w:rFonts w:ascii="Times New Roman" w:hAnsi="Times New Roman"/>
          <w:color w:val="000000"/>
          <w:sz w:val="20"/>
        </w:rPr>
        <w:t>”). Capitalized terms used herein and not defined shall have the meanings ascribed to them in the Agreement and Plan of Merger, dated as of July 15, 2026 by and among Parent, Albali Acquisition Corporation, a Delaware corporation and an indirect wholly owned Subsidiary of Parent (“</w:t>
      </w:r>
      <w:r>
        <w:rPr>
          <w:rFonts w:ascii="Times New Roman" w:hAnsi="Times New Roman"/>
          <w:color w:val="000000"/>
          <w:sz w:val="20"/>
          <w:u w:val="single"/>
        </w:rPr>
        <w:t>Merger Sub</w:t>
      </w:r>
      <w:r>
        <w:rPr>
          <w:rFonts w:ascii="Times New Roman" w:hAnsi="Times New Roman"/>
          <w:color w:val="000000"/>
          <w:sz w:val="20"/>
        </w:rPr>
        <w:t>”), and the Company (the “</w:t>
      </w:r>
      <w:r>
        <w:rPr>
          <w:rFonts w:ascii="Times New Roman" w:hAnsi="Times New Roman"/>
          <w:color w:val="000000"/>
          <w:sz w:val="20"/>
          <w:u w:val="single"/>
        </w:rPr>
        <w:t>Merger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Parent, Merger Sub and the Company have entered into the Merger Agreement, pursuant to which, among other things, Merger Sub will merge with and into the Company with the Company surviving the Merger as the Surviving Corporation (the “</w:t>
      </w:r>
      <w:r>
        <w:rPr>
          <w:rFonts w:ascii="Times New Roman" w:hAnsi="Times New Roman"/>
          <w:color w:val="000000"/>
          <w:sz w:val="20"/>
          <w:u w:val="single"/>
        </w:rPr>
        <w:t>Merger</w:t>
      </w:r>
      <w:r>
        <w:rPr>
          <w:rFonts w:ascii="Times New Roman" w:hAnsi="Times New Roman"/>
          <w:color w:val="000000"/>
          <w:sz w:val="20"/>
        </w:rPr>
        <w:t>”), upon the terms and subject to the conditions set forth in the Merger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xml:space="preserve">, the Stockholder beneficially owns (as defined in Rule 13d-3 under the Exchange Act), as of the date of this Agreement, the number of Company Shares (together with any New Shares (as defined below in </w:t>
      </w:r>
      <w:r>
        <w:rPr>
          <w:rFonts w:ascii="Times New Roman" w:hAnsi="Times New Roman"/>
          <w:color w:val="000000"/>
          <w:sz w:val="20"/>
          <w:u w:val="single"/>
        </w:rPr>
        <w:t>Section 2</w:t>
      </w:r>
      <w:r>
        <w:rPr>
          <w:rFonts w:ascii="Times New Roman" w:hAnsi="Times New Roman"/>
          <w:color w:val="000000"/>
          <w:sz w:val="20"/>
        </w:rPr>
        <w:t>), the “</w:t>
      </w:r>
      <w:r>
        <w:rPr>
          <w:rFonts w:ascii="Times New Roman" w:hAnsi="Times New Roman"/>
          <w:color w:val="000000"/>
          <w:sz w:val="20"/>
          <w:u w:val="single"/>
        </w:rPr>
        <w:t>Shares</w:t>
      </w:r>
      <w:r>
        <w:rPr>
          <w:rFonts w:ascii="Times New Roman" w:hAnsi="Times New Roman"/>
          <w:color w:val="000000"/>
          <w:sz w:val="20"/>
        </w:rPr>
        <w:t xml:space="preserve">”), and holds other rights to acquire beneficial ownership (as defined in Rule 13d-3 under the Exchange Act) of the number of Company Shares indicated opposite the Stockholder’s name on </w:t>
      </w:r>
      <w:r>
        <w:rPr>
          <w:rFonts w:ascii="Times New Roman" w:hAnsi="Times New Roman"/>
          <w:color w:val="000000"/>
          <w:sz w:val="20"/>
          <w:u w:val="single"/>
        </w:rPr>
        <w:t>Schedule 1</w:t>
      </w:r>
      <w:r>
        <w:rPr>
          <w:rFonts w:ascii="Times New Roman" w:hAnsi="Times New Roman"/>
          <w:color w:val="000000"/>
          <w:sz w:val="20"/>
        </w:rPr>
        <w:t xml:space="preserve"> attached hereto;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 xml:space="preserve">WHEREAS, </w:t>
      </w:r>
      <w:r>
        <w:rPr>
          <w:rFonts w:ascii="Times New Roman" w:hAnsi="Times New Roman"/>
          <w:color w:val="000000"/>
          <w:sz w:val="20"/>
        </w:rPr>
        <w:t>as an inducement and a condition to its willingness to enter into the Merger Agreement, Parent has required that the Stockholder, and the Stockholder has agreed to, enter into and perform this Agreement and vote the Stockholder’s Shares on the terms and subject to the conditions set forth herein.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NOW, THEREFORE</w:t>
      </w:r>
      <w:r>
        <w:rPr>
          <w:rFonts w:ascii="Times New Roman" w:hAnsi="Times New Roman"/>
          <w:color w:val="000000"/>
          <w:sz w:val="20"/>
        </w:rPr>
        <w:t>, in consideration of the foregoing and of the mutual covenants, representations, warranties and agreements set forth herein and in the Merger Agreement, and intending to be legally bound hereby, the Stockholder and Parent agree as follows: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Agreement to Vote the Shares</w:t>
      </w:r>
      <w:r>
        <w:rPr>
          <w:rFonts w:ascii="Times New Roman" w:hAnsi="Times New Roman"/>
          <w:color w:val="000000"/>
          <w:sz w:val="20"/>
        </w:rPr>
        <w:t>. Subject to the terms of this Agreement, Stockholder hereby agrees that, from the period beginning on the date hereof and ending on the date that this Agreement is terminated in accordance with Section 12 of this Agreement (the “</w:t>
      </w:r>
      <w:r>
        <w:rPr>
          <w:rFonts w:ascii="Times New Roman" w:hAnsi="Times New Roman"/>
          <w:color w:val="000000"/>
          <w:sz w:val="20"/>
          <w:u w:val="single"/>
        </w:rPr>
        <w:t>Support Period</w:t>
      </w:r>
      <w:r>
        <w:rPr>
          <w:rFonts w:ascii="Times New Roman" w:hAnsi="Times New Roman"/>
          <w:color w:val="000000"/>
          <w:sz w:val="20"/>
        </w:rPr>
        <w:t xml:space="preserve">”), at the Company Stockholder Meeting or any other annual or special meeting of the stockholders of the Company, however called, including any adjournment, recess or postponement thereof, and in connection with any written consent of the Company’s stockholders and in any other circumstance in which a vote, consent, resolution or other approval of the stockholders of the Company is sought, in each case, with respect to which any of the matters described in </w:t>
      </w:r>
      <w:r>
        <w:rPr>
          <w:rFonts w:ascii="Times New Roman" w:hAnsi="Times New Roman"/>
          <w:color w:val="000000"/>
          <w:sz w:val="20"/>
          <w:u w:val="single"/>
        </w:rPr>
        <w:t>subsections (i)</w:t>
      </w:r>
      <w:r>
        <w:rPr>
          <w:rFonts w:ascii="Times New Roman" w:hAnsi="Times New Roman"/>
          <w:color w:val="000000"/>
          <w:sz w:val="20"/>
        </w:rPr>
        <w:t xml:space="preserve"> through </w:t>
      </w:r>
      <w:r>
        <w:rPr>
          <w:rFonts w:ascii="Times New Roman" w:hAnsi="Times New Roman"/>
          <w:color w:val="000000"/>
          <w:sz w:val="20"/>
          <w:u w:val="single"/>
        </w:rPr>
        <w:t>(iv)</w:t>
      </w:r>
      <w:r>
        <w:rPr>
          <w:rFonts w:ascii="Times New Roman" w:hAnsi="Times New Roman"/>
          <w:color w:val="000000"/>
          <w:sz w:val="20"/>
        </w:rPr>
        <w:t xml:space="preserve"> of this </w:t>
      </w:r>
      <w:r>
        <w:rPr>
          <w:rFonts w:ascii="Times New Roman" w:hAnsi="Times New Roman"/>
          <w:color w:val="000000"/>
          <w:sz w:val="20"/>
          <w:u w:val="single"/>
        </w:rPr>
        <w:t>Section 1</w:t>
      </w:r>
      <w:r>
        <w:rPr>
          <w:rFonts w:ascii="Times New Roman" w:hAnsi="Times New Roman"/>
          <w:color w:val="000000"/>
          <w:sz w:val="20"/>
        </w:rPr>
        <w:t xml:space="preserve"> is to be considered, Stockholder shall (solely in its capacity as a stockholder of the Company) (a) appear at such meeting or otherwise cause all of the Shares owned by it as of the record date for determining stockholders entitled to vote at such meeting to be counted as present at such meeting for purposes of calculating a quorum (</w:t>
      </w:r>
      <w:r>
        <w:rPr>
          <w:rFonts w:ascii="Times New Roman" w:hAnsi="Times New Roman"/>
          <w:color w:val="000000"/>
          <w:sz w:val="20"/>
          <w:u w:val="single"/>
        </w:rPr>
        <w:t>provided</w:t>
      </w:r>
      <w:r>
        <w:rPr>
          <w:rFonts w:ascii="Times New Roman" w:hAnsi="Times New Roman"/>
          <w:color w:val="000000"/>
          <w:sz w:val="20"/>
        </w:rPr>
        <w:t xml:space="preserve">, that this Section 1 shall not require the Stockholder to be present or cause the Shares to be counted as present with respect to any meeting called for the consideration of an Adverse Amendment (as defined in </w:t>
      </w:r>
      <w:r>
        <w:rPr>
          <w:rFonts w:ascii="Times New Roman" w:hAnsi="Times New Roman"/>
          <w:color w:val="000000"/>
          <w:sz w:val="20"/>
          <w:u w:val="single"/>
        </w:rPr>
        <w:t>Section 12</w:t>
      </w:r>
      <w:r>
        <w:rPr>
          <w:rFonts w:ascii="Times New Roman" w:hAnsi="Times New Roman"/>
          <w:color w:val="000000"/>
          <w:sz w:val="20"/>
        </w:rPr>
        <w:t xml:space="preserve">)) and respond to each request by the Company for written consent, if any, of any Shares entitled to provide consent as of the record date for determining the stockholders of the Company entitled to act by consent, and (b) vote (or cause to be voted) or duly execute and deliver or cause to be duly executed and delivered a written consent with respect to all of the Stockholder’s Shares owned by it as of the such record date: (i) in favor of adoption of the Merger, the adoption of the Merger Agreement and the approval of any other actions contemplated by the Merger Agreement as to which stockholders of the Company are called upon to vote or consent in favor of that is necessary for the consummation of the Merger or the other Contemplated Transactions, including any proposal to adjourn or postpone a meeting of the stockholders of the Company to a later date if there are not sufficient votes at the time of the meeting to adopt the Merger Agreement or approve any of the transactions contemplated thereby in accordance with Section 5.4(b) of the Merger Agreement; (ii) against any action, proposal, transaction or agreement (including any amendment, waiver, release from or non-enforcement of any agreement) that would reasonably be expected to result in (A) any of the conditions to the Merger under the Merger Agreement not being fulfilled or (B) result in a breach of any covenant, representation, warranty or other obligation or agreement of such Stockholder under this Agreement; (iii) against any Acquisition Proposal or any action, agreement, transaction or other matter that would reasonably be expected to, prevent, materially impair or materially delay the consummation of the Merger and all other transactions contemplated by the Merger Agreement; and (iv) against any change in the membership of the Company Board that is not recommended or approved by the Company Board or any change in the voting rights of any class of shares of the Company. During the Support Period, the Stockholder shall not propose, take, commit or agree to take any action inconsistent with the Stockholder’s obligations set forth in this </w:t>
      </w:r>
      <w:r>
        <w:rPr>
          <w:rFonts w:ascii="Times New Roman" w:hAnsi="Times New Roman"/>
          <w:color w:val="000000"/>
          <w:sz w:val="20"/>
          <w:u w:val="single"/>
        </w:rPr>
        <w:t>Section 1</w:t>
      </w:r>
      <w:r>
        <w:rPr>
          <w:rFonts w:ascii="Times New Roman" w:hAnsi="Times New Roman"/>
          <w:color w:val="000000"/>
          <w:sz w:val="20"/>
        </w:rPr>
        <w:t xml:space="preserve">. The Stockholder shall retain at all times the right to vote all of the Shares in the Stockholder’s sole discretion, and without any other limitation, on any matters other than those set forth in this </w:t>
      </w:r>
      <w:r>
        <w:rPr>
          <w:rFonts w:ascii="Times New Roman" w:hAnsi="Times New Roman"/>
          <w:color w:val="000000"/>
          <w:sz w:val="20"/>
          <w:u w:val="single"/>
        </w:rPr>
        <w:t>Section 1</w:t>
      </w:r>
      <w:r>
        <w:rPr>
          <w:rFonts w:ascii="Times New Roman" w:hAnsi="Times New Roman"/>
          <w:color w:val="000000"/>
          <w:sz w:val="20"/>
        </w:rPr>
        <w:t xml:space="preserve"> that are at any time or from time to time presented for consideration to the Company’s stockholders generally.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Additional Purchases</w:t>
      </w:r>
      <w:r>
        <w:rPr>
          <w:rFonts w:ascii="Times New Roman" w:hAnsi="Times New Roman"/>
          <w:color w:val="000000"/>
          <w:sz w:val="20"/>
        </w:rPr>
        <w:t>. The Stockholder agrees that any Company Shares or other securities convertible, exchangeable or redeemable for Company Shares that the Stockholder purchases or with respect to which the Stockholder otherwise acquires beneficial ownership (as defined in Rule 13d-3 under the Exchange Act) during the Support Period, including by the exercise of a Company Stock Option or the settlement of a Company RSU (collectively, the “</w:t>
      </w:r>
      <w:r>
        <w:rPr>
          <w:rFonts w:ascii="Times New Roman" w:hAnsi="Times New Roman"/>
          <w:color w:val="000000"/>
          <w:sz w:val="20"/>
          <w:u w:val="single"/>
        </w:rPr>
        <w:t>New Shares</w:t>
      </w:r>
      <w:r>
        <w:rPr>
          <w:rFonts w:ascii="Times New Roman" w:hAnsi="Times New Roman"/>
          <w:color w:val="000000"/>
          <w:sz w:val="20"/>
        </w:rPr>
        <w:t>”) shall be subject to the terms and conditions of this Agreement to the same extent as if they constituted Shares as of the date hereof. Notwithstanding anything in this Agreement to the contrary, nothing herein shall require the Stockholder to exercise any Equity Award or require the Stockholder to purchase any Company Shares, and nothing herein shall prohibit the Stockholder from exercising any Equity Award held by the Stockholder or the settlement of any Equity Award.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           </w:t>
      </w:r>
      <w:r>
        <w:rPr>
          <w:rFonts w:ascii="Times New Roman" w:hAnsi="Times New Roman"/>
          <w:color w:val="000000"/>
          <w:sz w:val="20"/>
          <w:u w:val="single"/>
        </w:rPr>
        <w:t>Agreement to Retain the Shares and Other Covenants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During the Support Period, the Stockholder shall not Transfer (as defined below in </w:t>
      </w:r>
      <w:r>
        <w:rPr>
          <w:rFonts w:ascii="Times New Roman" w:hAnsi="Times New Roman"/>
          <w:color w:val="000000"/>
          <w:sz w:val="20"/>
          <w:u w:val="single"/>
        </w:rPr>
        <w:t>Section 3(c)</w:t>
      </w:r>
      <w:r>
        <w:rPr>
          <w:rFonts w:ascii="Times New Roman" w:hAnsi="Times New Roman"/>
          <w:color w:val="000000"/>
          <w:sz w:val="20"/>
        </w:rPr>
        <w:t>) (or agree to Transfer or cause or permit the Transfer of) any of the Shares or any Equity Awards held by the Stockholder. Without limiting the generality of the foregoing, during the Support Period, the Stockholder shall not tender, agree to tender or permit to be tendered any of the Shares in response to or otherwise in connection with any tender or exchange offer.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3(a)</w:t>
      </w:r>
      <w:r>
        <w:rPr>
          <w:rFonts w:ascii="Times New Roman" w:hAnsi="Times New Roman"/>
          <w:color w:val="000000"/>
          <w:sz w:val="20"/>
        </w:rPr>
        <w:t xml:space="preserve"> of this Agreement shall not prohibit or otherwise restrict a Transfer of Shares: (i) as contemplated by the Merger Agreement, (ii) transferring all or a portion of the Shares to any Affiliate, partner, member, or equityholder of the Stockholder or by operation of law or if the Stockholder is an investment fund, to any other investment fund controlled by the same management company, (iii) if Stockholder is an individual, (x) to any member of Stockholder’s immediate family, (y) to a trust for the benefit of Stockholder or any member of Stockholder’s immediate family or (z) by will or under the laws of intestacy upon the death of Stockholder; </w:t>
      </w:r>
      <w:r>
        <w:rPr>
          <w:rFonts w:ascii="Times New Roman" w:hAnsi="Times New Roman"/>
          <w:color w:val="000000"/>
          <w:sz w:val="20"/>
          <w:u w:val="single"/>
        </w:rPr>
        <w:t>provided</w:t>
      </w:r>
      <w:r>
        <w:rPr>
          <w:rFonts w:ascii="Times New Roman" w:hAnsi="Times New Roman"/>
          <w:color w:val="000000"/>
          <w:sz w:val="20"/>
        </w:rPr>
        <w:t xml:space="preserve">, that the recipient of the Shares pursuant to any such Transfer described in </w:t>
      </w:r>
      <w:r>
        <w:rPr>
          <w:rFonts w:ascii="Times New Roman" w:hAnsi="Times New Roman"/>
          <w:color w:val="000000"/>
          <w:sz w:val="20"/>
          <w:u w:val="single"/>
        </w:rPr>
        <w:t>clauses (ii)</w:t>
      </w:r>
      <w:r>
        <w:rPr>
          <w:rFonts w:ascii="Times New Roman" w:hAnsi="Times New Roman"/>
          <w:color w:val="000000"/>
          <w:sz w:val="20"/>
        </w:rPr>
        <w:t xml:space="preserve"> or </w:t>
      </w:r>
      <w:r>
        <w:rPr>
          <w:rFonts w:ascii="Times New Roman" w:hAnsi="Times New Roman"/>
          <w:color w:val="000000"/>
          <w:sz w:val="20"/>
          <w:u w:val="single"/>
        </w:rPr>
        <w:t>(iii)</w:t>
      </w:r>
      <w:r>
        <w:rPr>
          <w:rFonts w:ascii="Times New Roman" w:hAnsi="Times New Roman"/>
          <w:color w:val="000000"/>
          <w:sz w:val="20"/>
        </w:rPr>
        <w:t xml:space="preserve"> agrees to be bound by this Agreement by executing and delivering to Parent a joinder to this Agreement, in a form reasonably acceptable to Parent, prior to or concurrently with such Transfer or (iv) with Parent’s prior written consent(such exceptions set forth in clauses </w:t>
      </w:r>
      <w:r>
        <w:rPr>
          <w:rFonts w:ascii="Times New Roman" w:hAnsi="Times New Roman"/>
          <w:color w:val="000000"/>
          <w:sz w:val="20"/>
          <w:u w:val="single"/>
        </w:rPr>
        <w:t>(i)</w:t>
      </w:r>
      <w:r>
        <w:rPr>
          <w:rFonts w:ascii="Times New Roman" w:hAnsi="Times New Roman"/>
          <w:color w:val="000000"/>
          <w:sz w:val="20"/>
        </w:rPr>
        <w:t xml:space="preserve"> through </w:t>
      </w:r>
      <w:r>
        <w:rPr>
          <w:rFonts w:ascii="Times New Roman" w:hAnsi="Times New Roman"/>
          <w:color w:val="000000"/>
          <w:sz w:val="20"/>
          <w:u w:val="single"/>
        </w:rPr>
        <w:t>(iv)</w:t>
      </w:r>
      <w:r>
        <w:rPr>
          <w:rFonts w:ascii="Times New Roman" w:hAnsi="Times New Roman"/>
          <w:color w:val="000000"/>
          <w:sz w:val="20"/>
        </w:rPr>
        <w:t>, collectively, “</w:t>
      </w:r>
      <w:r>
        <w:rPr>
          <w:rFonts w:ascii="Times New Roman" w:hAnsi="Times New Roman"/>
          <w:color w:val="000000"/>
          <w:sz w:val="20"/>
          <w:u w:val="single"/>
        </w:rPr>
        <w:t>Permitted Transfers</w:t>
      </w:r>
      <w:r>
        <w:rPr>
          <w:rFonts w:ascii="Times New Roman" w:hAnsi="Times New Roman"/>
          <w:color w:val="000000"/>
          <w:sz w:val="20"/>
        </w:rPr>
        <w:t>”). To the fullest extent permitted by applicable Law, any Transfer (other than a Permitted Transfer), or purported Transfer (other than a Permitted Transfer), of any of the Shares in breach or violation of this Agreement shall be void and of no force or effect.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For the purposes of this Agreement, a Person shall be deemed to have effected a “</w:t>
      </w:r>
      <w:r>
        <w:rPr>
          <w:rFonts w:ascii="Times New Roman" w:hAnsi="Times New Roman"/>
          <w:color w:val="000000"/>
          <w:sz w:val="20"/>
          <w:u w:val="single"/>
        </w:rPr>
        <w:t>Transfer</w:t>
      </w:r>
      <w:r>
        <w:rPr>
          <w:rFonts w:ascii="Times New Roman" w:hAnsi="Times New Roman"/>
          <w:color w:val="000000"/>
          <w:sz w:val="20"/>
        </w:rPr>
        <w:t>” of a Share if such Person, directly or indirectly, (i) sells, pledges, encumbers, hypothecates, assigns, grants an option with respect to (or otherwise enters into a hedging arrangement with respect to), transfers, tenders or otherwise disposes of such Share in any way (including by merger, tender or exchange offer (other than as contemplated by the Merger Agreement and this Agreement), liquidation or dissolution, testamentary disposition, the creation of any Lien (other than (a) Liens of general applicability arising under applicable securities Laws, or (b) Liens as contained herein), entry into any derivative arrangement, operation of law, dividend, distribution or otherwise) or any interest in or beneficial ownership of such Share or (ii) deposits any Shares into a voting trust or enters into a voting agreement or arrangement or grants or permits the grant of any proxy or power of attorney with respect thereto that is inconsistent with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Subject to </w:t>
      </w:r>
      <w:r>
        <w:rPr>
          <w:rFonts w:ascii="Times New Roman" w:hAnsi="Times New Roman"/>
          <w:color w:val="000000"/>
          <w:sz w:val="20"/>
          <w:u w:val="single"/>
        </w:rPr>
        <w:t>Section 7</w:t>
      </w:r>
      <w:r>
        <w:rPr>
          <w:rFonts w:ascii="Times New Roman" w:hAnsi="Times New Roman"/>
          <w:color w:val="000000"/>
          <w:sz w:val="20"/>
        </w:rPr>
        <w:t xml:space="preserve"> below, at all times during the period commencing on the date hereof and continuing until the earlier to occur of (i) the termination of this Agreement pursuant to </w:t>
      </w:r>
      <w:r>
        <w:rPr>
          <w:rFonts w:ascii="Times New Roman" w:hAnsi="Times New Roman"/>
          <w:color w:val="000000"/>
          <w:sz w:val="20"/>
          <w:u w:val="single"/>
        </w:rPr>
        <w:t>Section 12</w:t>
      </w:r>
      <w:r>
        <w:rPr>
          <w:rFonts w:ascii="Times New Roman" w:hAnsi="Times New Roman"/>
          <w:color w:val="000000"/>
          <w:sz w:val="20"/>
        </w:rPr>
        <w:t xml:space="preserve">, and (ii) the Effective Time, the Stockholder shall not, and shall cause its Affiliates and its and their respective directors, officers and employees not to, and shall direct its and their other respective Representatives not to, (A) 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(B) directly or indirectly engage in, enter into or participate in any discussions or negotiations with any Person with respect to any Acquisition Proposal or (C) provide any non-public information to, or afford access to the business, properties, assets, books or records of the Company and its Subsidiaries to, any Person (other than Parent, Merger Sub, or any designees of Parent or Merger Sub) in connection with any Acquisition Proposal. Stockholder shall immediately cease any solicitation, discussions, or negotiations with any Person (other than Parent, Merger Sub, or any designees of Parent or Merger Sub) with respect to any Acquisition Proposal, in each case except to the same extent that the Company is permitted to engage in, or take, any of the foregoing activities pursuant to Section 5.3 of the Merger Agreement. Notwithstanding the foregoing, the Stockholder and its Representatives may, solely in response to a </w:t>
      </w:r>
      <w:r>
        <w:rPr>
          <w:rFonts w:ascii="Times New Roman" w:hAnsi="Times New Roman"/>
          <w:i/>
          <w:color w:val="000000"/>
          <w:sz w:val="20"/>
        </w:rPr>
        <w:t>bona fide</w:t>
      </w:r>
      <w:r>
        <w:rPr>
          <w:rFonts w:ascii="Times New Roman" w:hAnsi="Times New Roman"/>
          <w:color w:val="000000"/>
          <w:sz w:val="20"/>
        </w:rPr>
        <w:t xml:space="preserve"> inquiry or proposal that did not result from a material breach of this </w:t>
      </w:r>
      <w:r>
        <w:rPr>
          <w:rFonts w:ascii="Times New Roman" w:hAnsi="Times New Roman"/>
          <w:color w:val="000000"/>
          <w:sz w:val="20"/>
          <w:u w:val="single"/>
        </w:rPr>
        <w:t>Section 3(d)</w:t>
      </w:r>
      <w:r>
        <w:rPr>
          <w:rFonts w:ascii="Times New Roman" w:hAnsi="Times New Roman"/>
          <w:color w:val="000000"/>
          <w:sz w:val="20"/>
        </w:rPr>
        <w:t xml:space="preserve">, inform a Person that has made or, to the Knowledge of the Company, is considering making an Acquisition Proposal of the provisions of this </w:t>
      </w:r>
      <w:r>
        <w:rPr>
          <w:rFonts w:ascii="Times New Roman" w:hAnsi="Times New Roman"/>
          <w:color w:val="000000"/>
          <w:sz w:val="20"/>
          <w:u w:val="single"/>
        </w:rPr>
        <w:t>Section 3(d)</w:t>
      </w:r>
      <w:r>
        <w:rPr>
          <w:rFonts w:ascii="Times New Roman" w:hAnsi="Times New Roman"/>
          <w:color w:val="000000"/>
          <w:sz w:val="20"/>
        </w:rPr>
        <w:t xml:space="preserve">. For clarity, if such Stockholder is a venture capital or private equity investor, the term “Representative” (1) shall include any general partner of such Stockholder that is still affiliated with such Stockholder, but (2) shall exclude (x) any limited partner, (y) any general partner that is no longer affiliated with such Stockholder, and (z) any employees or other Representatives, in each case of </w:t>
      </w:r>
      <w:r>
        <w:rPr>
          <w:rFonts w:ascii="Times New Roman" w:hAnsi="Times New Roman"/>
          <w:color w:val="000000"/>
          <w:sz w:val="20"/>
          <w:u w:val="single"/>
        </w:rPr>
        <w:t>clauses (x)</w:t>
      </w:r>
      <w:r>
        <w:rPr>
          <w:rFonts w:ascii="Times New Roman" w:hAnsi="Times New Roman"/>
          <w:color w:val="000000"/>
          <w:sz w:val="20"/>
        </w:rPr>
        <w:t xml:space="preserve"> through </w:t>
      </w:r>
      <w:r>
        <w:rPr>
          <w:rFonts w:ascii="Times New Roman" w:hAnsi="Times New Roman"/>
          <w:color w:val="000000"/>
          <w:sz w:val="20"/>
          <w:u w:val="single"/>
        </w:rPr>
        <w:t>(z)</w:t>
      </w:r>
      <w:r>
        <w:rPr>
          <w:rFonts w:ascii="Times New Roman" w:hAnsi="Times New Roman"/>
          <w:color w:val="000000"/>
          <w:sz w:val="20"/>
        </w:rPr>
        <w:t xml:space="preserve">, who do not have actual knowledge of the Transactions. The Stockholder acknowledges and agrees that any violation of the restrictions set forth in this </w:t>
      </w:r>
      <w:r>
        <w:rPr>
          <w:rFonts w:ascii="Times New Roman" w:hAnsi="Times New Roman"/>
          <w:color w:val="000000"/>
          <w:sz w:val="20"/>
          <w:u w:val="single"/>
        </w:rPr>
        <w:t>Section 3(d)</w:t>
      </w:r>
      <w:r>
        <w:rPr>
          <w:rFonts w:ascii="Times New Roman" w:hAnsi="Times New Roman"/>
          <w:color w:val="000000"/>
          <w:sz w:val="20"/>
        </w:rPr>
        <w:t xml:space="preserve"> by any Affiliate of such Stockholder or any of its or their respective Representatives acting on its behalf shall be deemed to be a breach by the Stockholder.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4          </w:t>
      </w:r>
      <w:r>
        <w:rPr>
          <w:rFonts w:ascii="Times New Roman" w:hAnsi="Times New Roman"/>
          <w:color w:val="000000"/>
          <w:sz w:val="20"/>
          <w:u w:val="single"/>
        </w:rPr>
        <w:t>Representations and Warranties of the Stockholder</w:t>
      </w:r>
      <w:r>
        <w:rPr>
          <w:rFonts w:ascii="Times New Roman" w:hAnsi="Times New Roman"/>
          <w:color w:val="000000"/>
          <w:sz w:val="20"/>
        </w:rPr>
        <w:t>. The Stockholder hereby represents and warrants to Parent as of the date hereof as follows: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To the extent Stockholder is not an individual, Stockholder is duly organized and validly existing and in good standing (or its equivalent, where applicable) under the laws of its jurisdiction of organization. The Stockholder has the requisite power and authority to execute and deliver this Agreement and to perform the Stockholder’s obligations hereunder and no other proceedings or actions on the part of the Stockholder are necessary to authorize the execution, delivery or performance of this Agreement or the consummation of the transactions contemplated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This Agreement has been duly executed and delivered by or on behalf of the Stockholder and, assuming due authorization, execution and delivery hereof by Parent, constitutes a valid and binding agreement with respect to the Stockholder, enforceable against the Stockholder in accordance with its terms except as enforcement may be limited by bankruptcy, insolvency, reorganization or similar laws affecting creditors’ rights generally and by general principles of equity.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The Stockholder is the record and beneficial owner of the number of the Shares and the other rights to acquire (whether currently, upon lapse of time, following the satisfaction of any condition, upon the occurrence of any event or any combination of the foregoing) beneficial ownership (as defined in Rule 13d-3 under the Exchange Act) of the number of Company Shares, in each case indicated opposite the Stockholder’s name on </w:t>
      </w:r>
      <w:r>
        <w:rPr>
          <w:rFonts w:ascii="Times New Roman" w:hAnsi="Times New Roman"/>
          <w:color w:val="000000"/>
          <w:sz w:val="20"/>
          <w:u w:val="single"/>
        </w:rPr>
        <w:t>Schedule</w:t>
      </w:r>
      <w:r>
        <w:rPr>
          <w:rFonts w:ascii="Times New Roman" w:hAnsi="Times New Roman"/>
          <w:color w:val="000000"/>
          <w:sz w:val="20"/>
        </w:rPr>
        <w:t xml:space="preserve"> 1, which constitute all of the securities of the Company owned of record or beneficially by the Stockholder or its Affiliates on the date hereof. The Stockholder does not beneficially own any Company Shares that it does not hold of record or own any Company Shares through its Affiliates. The Shares are now, and at all times during the Support Period will be, held by the Stockholder (or a nominee or custodian for its benefit or a transferee pursuant to a Permitted Transfer), free and clear of any Liens (other than Permitted Liens). The Stockholder has sole, and otherwise unrestricted, voting power with respect to such Shares, and none of the Shares are subject to any voting trust or other agreement, arrangement, or restriction with respect to the voting of the Shares, except as contemplated by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The execution and delivery of this Agreement by the Stockholder does not, and the performance by the Stockholder of its obligations hereunder and the compliance by the Stockholder with any provisions hereof will not, violate, contravene or conflict with, result in a material breach of or constitute a default (or an event that with notice or lapse of time or both would become a material default) under, give to others any rights of termination, amendment, modification, acceleration or cancellation of, require any consent, waiver or approval rights, or result in the creation of any Lien (other than as contained herein) on any of the Shares pursuant to any Contract or permit or any order to which the Stockholder is a party or by which the Stockholder or any of its assets (including the Shares) are bound, or, to the Stockholder’s knowledge, any Law to which the Stockholder is subject or by which any of the Stockholder’s assets (including the Shares) are bound or any certificate of incorporation, bylaw or other similar organizational document of the Stockholder, in each case, except as would not reasonably be expected to prevent or materially delay or materially impair the consummation by the Stockholder of the transactions contemplated by this Agreement or otherwise adversely impact the Stockholder’s ability to comply with the Stockholder’s obligations hereunder.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The execution and delivery of this Agreement by the Stockholder does not, and the performance of this Agreement by the Stockholder does not and will not, require any consent, approval, authorization or permit of, or filing with or notification to, any governmental or regulatory authority by the Stockholder except for applicable requirements, if any, of the Exchange Act.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As of the date hereof, there is no Action pending or, to the knowledge of the Stockholder, threatened against the Stockholder before or by any Governmental Body that would reasonably be expected to materially impair or materially delay the ability of the Stockholder to perform its obligations under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No broker, investment banker, financial advisor, finder, agent or other Person is entitled to any broker’s, finder’s, financial adviser’s or other similar fee or commission from the Company other than as disclosed in the Merger Agreement in connection with this Agreement based upon arrangements made by or on behalf of the Stockholder in his, her or its capacity as a stockholder of the Company.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The Stockholder understands and acknowledges that Parent is entering into the Merger Agreement in reliance upon the Stockholder’s execution and delivery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         </w:t>
      </w:r>
      <w:r>
        <w:rPr>
          <w:rFonts w:ascii="Times New Roman" w:hAnsi="Times New Roman"/>
          <w:color w:val="000000"/>
          <w:sz w:val="20"/>
          <w:u w:val="single"/>
        </w:rPr>
        <w:t>Representations and Warranties of Parent</w:t>
      </w:r>
      <w:r>
        <w:rPr>
          <w:rFonts w:ascii="Times New Roman" w:hAnsi="Times New Roman"/>
          <w:color w:val="000000"/>
          <w:sz w:val="20"/>
        </w:rPr>
        <w:t>. Parent hereby represent and warrant to the Stockholder as of the date hereof as follows: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Parent is duly organized and validly existing and in good standing (or its equivalent, where applicable) under the laws of its jurisdiction of organization. Parent has the full requisite power and authority to execute and deliver this Agreement, has taken all action necessary to execute, deliver and perform its obligations under this Agreement and to consummate the transactions contemplated hereby and to perform Parent’s obligations, as applicable, hereunder and no other proceedings or actions on the part of Parent are necessary to authorize the execution, delivery or performance of this Agreement or the consummation of the transactions contemplated hereby.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This Agreement has been duly executed and delivered by or on behalf of Parent and, assuming due authorization, execution and delivery hereof by the Stockholder, constitutes a valid and binding agreement with respect to Parent, enforceable against Parent in accordance with its terms except as enforcement may be limited by bankruptcy, insolvency, reorganization or similar laws affecting creditors’ rights generally and by general principles of equity.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6          </w:t>
      </w:r>
      <w:r>
        <w:rPr>
          <w:rFonts w:ascii="Times New Roman" w:hAnsi="Times New Roman"/>
          <w:color w:val="000000"/>
          <w:sz w:val="20"/>
          <w:u w:val="single"/>
        </w:rPr>
        <w:t>Waiver of Actions</w:t>
      </w:r>
      <w:r>
        <w:rPr>
          <w:rFonts w:ascii="Times New Roman" w:hAnsi="Times New Roman"/>
          <w:color w:val="000000"/>
          <w:sz w:val="20"/>
        </w:rPr>
        <w:t>. The Stockholder agrees that the Stockholder will not, in the Stockholder’s capacity as a stockholder of the Company, bring, commence, institute, maintain, or prosecute or voluntarily and knowingly aid any action (a) which (i) challenges the validity of or seeks to enjoin the operation of any provision of this Agreement or the Merger Agreement or (ii) alleges that the execution and delivery of this Agreement by the Stockholder, whether alone or together with any of the other agreements and proxies to be delivered in connection with the execution of the Merger Agreement, or the approval of the Merger Agreement by the Company Board, or breaches any fiduciary duty of the Company Board or any member thereof, or (b) against Parent, Merger Sub or their respective Representatives in connection with this Agreement or the Merger Agreement or the transactions contemplated hereby or thereby (other than an action pursuant to Section 8.7(b) of the Merger Agreement or, if the Effective Time occurs, an action with respect to the Stockholder’s right under the Merger Agreement to receive the Merger Consideration for the Shares). During the term of this Agreement, the Stockholder hereby irrevocably and unconditionally waives, and agrees not to exercise or assert, on its own behalf or on behalf of any other holder of Shares, any rights of appraisal, any dissenters’ rights or any similar rights relating to the Merger that the Stockholder may have by virtue of, or with respect to, any Shares beneficially owned by the Stockholder. Notwithstanding anything to the contrary in this Agreement, nothing in this Agreement shall release, waive discharge, compromise, settle or affect any rights or claims that Stockholder or its Affiliates may have for (i) indemnification, advancement of expenses, contribution or reimbursement under any applicable Law, the certificate of incorporation, bylaws or other organizational documents of any person or party, any agreement or arrangement providing for such indemnification, advancement, contribution or reimbursement or any insurance policy covering Stockholder or any of its Affiliates, (ii) any breach of or default under this Agreement, the Merger Agreement or any other agreement or document executed or delivered by Parent or Merger Sub in connection with this Agreement or the Merger Agreement or (iii) any rights under this Agreement or the Merger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         </w:t>
      </w:r>
      <w:r>
        <w:rPr>
          <w:rFonts w:ascii="Times New Roman" w:hAnsi="Times New Roman"/>
          <w:color w:val="000000"/>
          <w:sz w:val="20"/>
          <w:u w:val="single"/>
        </w:rPr>
        <w:t>No Limitation on Discretion as Director or Fiduciary</w:t>
      </w:r>
      <w:r>
        <w:rPr>
          <w:rFonts w:ascii="Times New Roman" w:hAnsi="Times New Roman"/>
          <w:color w:val="000000"/>
          <w:sz w:val="20"/>
        </w:rPr>
        <w:t>. Notwithstanding anything herein to the contrary, the covenants and agreements set forth herein shall not prevent the Stockholder or any representative of the Stockholder, (a) if the Stockholder or such representative is a director on the Company Board or is an officer or other fiduciary of the Company, from exercising his or her duties and obligations as a director, officer or fiduciary of the Company or otherwise taking, or omitting to take, any action (including with respect to an Acquisition Proposal or a Change of Board Recommendation in accordance with the Merger Agreement), subject to the applicable provisions of the Merger Agreement, while acting in such capacity as a director, officer or fiduciary of the Company, or (b) if the Stockholder or such representative is serving as a trustee or fiduciary of any ERISA plan or trust, from exercising his or her duties and obligations as a trustee or fiduciary of such ERISA plan or trust. The Stockholder is executing this Agreement solely in its capacity as a stockholder of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           </w:t>
      </w:r>
      <w:r>
        <w:rPr>
          <w:rFonts w:ascii="Times New Roman" w:hAnsi="Times New Roman"/>
          <w:color w:val="000000"/>
          <w:sz w:val="20"/>
          <w:u w:val="single"/>
        </w:rPr>
        <w:t>Specific Enforcement</w:t>
      </w:r>
      <w:r>
        <w:rPr>
          <w:rFonts w:ascii="Times New Roman" w:hAnsi="Times New Roman"/>
          <w:color w:val="000000"/>
          <w:sz w:val="20"/>
        </w:rPr>
        <w:t xml:space="preserve">. The parties acknowledge and agree that, in the event of any breach of this Agreement, irreparable harm would occur that monetary damages could not make whole. It is accordingly agreed that (a) each party hereto will be entitled, in addition to any other remedy to which it may be entitled at law or in equity, to compel specific performance to prevent or restrain breaches or threatened breaches of this Agreement in any action without the posting of a bond or undertaking and (b) the parties will, and hereby do, waive, in any action for specific performance, the defense of adequacy of a remedy at law and any other objections to specific performance of this Agreement.  Notwithstanding the parties’ rights to specific performance pursuant to this </w:t>
      </w:r>
      <w:r>
        <w:rPr>
          <w:rFonts w:ascii="Times New Roman" w:hAnsi="Times New Roman"/>
          <w:color w:val="000000"/>
          <w:sz w:val="20"/>
          <w:u w:val="single"/>
        </w:rPr>
        <w:t>Section 8</w:t>
      </w:r>
      <w:r>
        <w:rPr>
          <w:rFonts w:ascii="Times New Roman" w:hAnsi="Times New Roman"/>
          <w:color w:val="000000"/>
          <w:sz w:val="20"/>
        </w:rPr>
        <w:t>, each party may pursue any other remedy available to it at law or in equity, including monetary damages.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9           </w:t>
      </w:r>
      <w:r>
        <w:rPr>
          <w:rFonts w:ascii="Times New Roman" w:hAnsi="Times New Roman"/>
          <w:color w:val="000000"/>
          <w:sz w:val="20"/>
          <w:u w:val="single"/>
        </w:rPr>
        <w:t>Further Assurances</w:t>
      </w:r>
      <w:r>
        <w:rPr>
          <w:rFonts w:ascii="Times New Roman" w:hAnsi="Times New Roman"/>
          <w:color w:val="000000"/>
          <w:sz w:val="20"/>
        </w:rPr>
        <w:t>. Each of Stockholder and Parent shall, from time to time and without additional consideration, execute and deliver, or cause to be executed and delivered such additional or further consents, documents and other instruments as the other party may reasonably request for the purpose of complying with such party’s obligations under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        </w:t>
      </w:r>
      <w:r>
        <w:rPr>
          <w:rFonts w:ascii="Times New Roman" w:hAnsi="Times New Roman"/>
          <w:color w:val="000000"/>
          <w:sz w:val="20"/>
          <w:u w:val="single"/>
        </w:rPr>
        <w:t>Notice</w:t>
      </w:r>
      <w:r>
        <w:rPr>
          <w:rFonts w:ascii="Times New Roman" w:hAnsi="Times New Roman"/>
          <w:color w:val="000000"/>
          <w:sz w:val="20"/>
        </w:rPr>
        <w:t xml:space="preserve">. All notices and other communications hereunder shall be in writing and shall be deemed to have been duly delivered and received hereunder if they are, in accordance with the methods set forth in Section 9.2 of the Merger Agreement: (a) delivered to Parent at the address set forth in Section 9.2 of the Merger Agreement or (b) delivered to the Stockholder at its address and email address set forth on the Stockholder’s signature page to this Agreement (or, in each case, to such other recipient or address as designated in a written notice to the Stockholder or Parent, as applicable, in accordance with this </w:t>
      </w:r>
      <w:r>
        <w:rPr>
          <w:rFonts w:ascii="Times New Roman" w:hAnsi="Times New Roman"/>
          <w:color w:val="000000"/>
          <w:sz w:val="20"/>
          <w:u w:val="single"/>
        </w:rPr>
        <w:t>Section 10</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No Survival of Representations, Warranties and Agreements</w:t>
      </w:r>
      <w:r>
        <w:rPr>
          <w:rFonts w:ascii="Times New Roman" w:hAnsi="Times New Roman"/>
          <w:color w:val="000000"/>
          <w:sz w:val="20"/>
        </w:rPr>
        <w:t>. All representations, warranties, covenants and agreements in this Agreement, and all rights and remedies with respect thereto, shall not survive the termination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color w:val="000000"/>
          <w:sz w:val="20"/>
          <w:u w:val="single"/>
        </w:rPr>
        <w:t>Termination</w:t>
      </w:r>
      <w:r>
        <w:rPr>
          <w:rFonts w:ascii="Times New Roman" w:hAnsi="Times New Roman"/>
          <w:color w:val="000000"/>
          <w:sz w:val="20"/>
        </w:rPr>
        <w:t xml:space="preserve">. This Agreement shall automatically terminate and become void and of no further force or effect, without any notice or other action by any Person, upon the earliest to occur of (a) the Effective Time, (b) such date and time as the Merger Agreement shall be validly terminated pursuant to its terms, (c) the mutual written agreement of the parties to terminate this Agreement, and (d) the delivery of written notice of termination by the Stockholder to Parent following any modification or amendment of the Merger Agreement (including any exhibits, annexes or schedules thereto, such as the CVR Agreement) in each case without the prior written consent of the Stockholder, that, in each case, (i) results in a decrease in the amount or changes the form of consideration payable to the Stockholder pursuant to the terms of the Merger Agreement (including any exhibits or schedules thereto, such as the CVR Agreement) as in effect on the date hereof (other than a change in form from CVRs to cash where the price payable in cash is not less than a respective Milestone Payment), or (ii) makes any change in the terms or conditions of the Merger Agreement that is adverse in any material respect to the Stockholder (in its capacity as such) (the items set forth in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an “</w:t>
      </w:r>
      <w:r>
        <w:rPr>
          <w:rFonts w:ascii="Times New Roman" w:hAnsi="Times New Roman"/>
          <w:color w:val="000000"/>
          <w:sz w:val="20"/>
          <w:u w:val="single"/>
        </w:rPr>
        <w:t>Adverse Amendment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 </w:t>
      </w:r>
      <w:r>
        <w:rPr>
          <w:rFonts w:ascii="Times New Roman" w:hAnsi="Times New Roman"/>
          <w:color w:val="000000"/>
          <w:sz w:val="20"/>
          <w:u w:val="single"/>
        </w:rPr>
        <w:t>Section 6</w:t>
      </w:r>
      <w:r>
        <w:rPr>
          <w:rFonts w:ascii="Times New Roman" w:hAnsi="Times New Roman"/>
          <w:color w:val="000000"/>
          <w:sz w:val="20"/>
        </w:rPr>
        <w:t xml:space="preserve">, this </w:t>
      </w:r>
      <w:r>
        <w:rPr>
          <w:rFonts w:ascii="Times New Roman" w:hAnsi="Times New Roman"/>
          <w:color w:val="000000"/>
          <w:sz w:val="20"/>
          <w:u w:val="single"/>
        </w:rPr>
        <w:t>Section 12</w:t>
      </w:r>
      <w:r>
        <w:rPr>
          <w:rFonts w:ascii="Times New Roman" w:hAnsi="Times New Roman"/>
          <w:color w:val="000000"/>
          <w:sz w:val="20"/>
        </w:rPr>
        <w:t xml:space="preserve">,the first two sentences of </w:t>
      </w:r>
      <w:r>
        <w:rPr>
          <w:rFonts w:ascii="Times New Roman" w:hAnsi="Times New Roman"/>
          <w:color w:val="000000"/>
          <w:sz w:val="20"/>
          <w:u w:val="single"/>
        </w:rPr>
        <w:t>Section 13</w:t>
      </w:r>
      <w:r>
        <w:rPr>
          <w:rFonts w:ascii="Times New Roman" w:hAnsi="Times New Roman"/>
          <w:color w:val="000000"/>
          <w:sz w:val="20"/>
        </w:rPr>
        <w:t xml:space="preserve"> and the applicable definitional and interpretive provisions of </w:t>
      </w:r>
      <w:r>
        <w:rPr>
          <w:rFonts w:ascii="Times New Roman" w:hAnsi="Times New Roman"/>
          <w:color w:val="000000"/>
          <w:sz w:val="20"/>
          <w:u w:val="single"/>
        </w:rPr>
        <w:t>Section 14</w:t>
      </w:r>
      <w:r>
        <w:rPr>
          <w:rFonts w:ascii="Times New Roman" w:hAnsi="Times New Roman"/>
          <w:color w:val="000000"/>
          <w:sz w:val="20"/>
        </w:rPr>
        <w:t xml:space="preserve"> through </w:t>
      </w:r>
      <w:r>
        <w:rPr>
          <w:rFonts w:ascii="Times New Roman" w:hAnsi="Times New Roman"/>
          <w:color w:val="000000"/>
          <w:sz w:val="20"/>
          <w:u w:val="single"/>
        </w:rPr>
        <w:t>Section 19</w:t>
      </w:r>
      <w:r>
        <w:rPr>
          <w:rFonts w:ascii="Times New Roman" w:hAnsi="Times New Roman"/>
          <w:color w:val="000000"/>
          <w:sz w:val="20"/>
        </w:rPr>
        <w:t xml:space="preserve">, </w:t>
      </w:r>
      <w:r>
        <w:rPr>
          <w:rFonts w:ascii="Times New Roman" w:hAnsi="Times New Roman"/>
          <w:color w:val="000000"/>
          <w:sz w:val="20"/>
          <w:u w:val="single"/>
        </w:rPr>
        <w:t>Section 21</w:t>
      </w:r>
      <w:r>
        <w:rPr>
          <w:rFonts w:ascii="Times New Roman" w:hAnsi="Times New Roman"/>
          <w:color w:val="000000"/>
          <w:sz w:val="20"/>
        </w:rPr>
        <w:t xml:space="preserve">, </w:t>
      </w:r>
      <w:r>
        <w:rPr>
          <w:rFonts w:ascii="Times New Roman" w:hAnsi="Times New Roman"/>
          <w:color w:val="000000"/>
          <w:sz w:val="20"/>
          <w:u w:val="single"/>
        </w:rPr>
        <w:t>Section 22</w:t>
      </w:r>
      <w:r>
        <w:rPr>
          <w:rFonts w:ascii="Times New Roman" w:hAnsi="Times New Roman"/>
          <w:color w:val="000000"/>
          <w:sz w:val="20"/>
        </w:rPr>
        <w:t xml:space="preserve">, </w:t>
      </w:r>
      <w:r>
        <w:rPr>
          <w:rFonts w:ascii="Times New Roman" w:hAnsi="Times New Roman"/>
          <w:color w:val="000000"/>
          <w:sz w:val="20"/>
          <w:u w:val="single"/>
        </w:rPr>
        <w:t>Section 24</w:t>
      </w:r>
      <w:r>
        <w:rPr>
          <w:rFonts w:ascii="Times New Roman" w:hAnsi="Times New Roman"/>
          <w:color w:val="000000"/>
          <w:sz w:val="20"/>
        </w:rPr>
        <w:t xml:space="preserve">, </w:t>
      </w:r>
      <w:r>
        <w:rPr>
          <w:rFonts w:ascii="Times New Roman" w:hAnsi="Times New Roman"/>
          <w:color w:val="000000"/>
          <w:sz w:val="20"/>
          <w:u w:val="single"/>
        </w:rPr>
        <w:t>Section 25</w:t>
      </w:r>
      <w:r>
        <w:rPr>
          <w:rFonts w:ascii="Times New Roman" w:hAnsi="Times New Roman"/>
          <w:color w:val="000000"/>
          <w:sz w:val="20"/>
        </w:rPr>
        <w:t xml:space="preserve"> and </w:t>
      </w:r>
      <w:r>
        <w:rPr>
          <w:rFonts w:ascii="Times New Roman" w:hAnsi="Times New Roman"/>
          <w:color w:val="000000"/>
          <w:sz w:val="20"/>
          <w:u w:val="single"/>
        </w:rPr>
        <w:t>Section 26</w:t>
      </w:r>
      <w:r>
        <w:rPr>
          <w:rFonts w:ascii="Times New Roman" w:hAnsi="Times New Roman"/>
          <w:color w:val="000000"/>
          <w:sz w:val="20"/>
        </w:rPr>
        <w:t xml:space="preserve"> shall survive such termination and (ii) unless the Effective Time shall have occurred, no such termination shall relieve or release the Stockholder from any obligations or liabilities arising out of its Intentional Breach of this Agreement prior to its termination.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13        </w:t>
      </w:r>
      <w:r>
        <w:rPr>
          <w:rFonts w:ascii="Times New Roman" w:hAnsi="Times New Roman"/>
          <w:color w:val="000000"/>
          <w:sz w:val="20"/>
          <w:u w:val="single"/>
        </w:rPr>
        <w:t>Disclosure</w:t>
      </w:r>
      <w:r>
        <w:rPr>
          <w:rFonts w:ascii="Times New Roman" w:hAnsi="Times New Roman"/>
          <w:color w:val="000000"/>
          <w:sz w:val="20"/>
        </w:rPr>
        <w:t>. The Stockholder shall permit the Company, Parent and Merger Sub to disclose in all documents and schedules filed with the U.S. Securities and Exchange Commission (“</w:t>
      </w:r>
      <w:r>
        <w:rPr>
          <w:rFonts w:ascii="Times New Roman" w:hAnsi="Times New Roman"/>
          <w:color w:val="000000"/>
          <w:sz w:val="20"/>
          <w:u w:val="single"/>
        </w:rPr>
        <w:t>SEC</w:t>
      </w:r>
      <w:r>
        <w:rPr>
          <w:rFonts w:ascii="Times New Roman" w:hAnsi="Times New Roman"/>
          <w:color w:val="000000"/>
          <w:sz w:val="20"/>
        </w:rPr>
        <w:t xml:space="preserve">”) that the Company, Merger Sub and Parent determine to be necessary in connection with the Merger Agreement and the transactions contemplated thereby, including the Merger, the Stockholder’s identity and ownership of the Shares and the nature of the Stockholder’s commitments, arrangements and understandings under this Agreement; </w:t>
      </w:r>
      <w:r>
        <w:rPr>
          <w:rFonts w:ascii="Times New Roman" w:hAnsi="Times New Roman"/>
          <w:color w:val="000000"/>
          <w:sz w:val="20"/>
          <w:u w:val="single"/>
        </w:rPr>
        <w:t>provided</w:t>
      </w:r>
      <w:r>
        <w:rPr>
          <w:rFonts w:ascii="Times New Roman" w:hAnsi="Times New Roman"/>
          <w:color w:val="000000"/>
          <w:sz w:val="20"/>
        </w:rPr>
        <w:t>, that the Stockholder shall have a reasonable opportunity to review and comment on such disclosure prior to any such filing. The Stockholder shall promptly notify the Company, Merger Sub and Parent if it becomes aware of any required corrections with respect to any information provided by or on behalf of the Stockholder for inclusion in any such disclosure document if and to the extent that the Stockholder becomes aware that any such information shall have become untrue or misleading in any material respect. The Stockholder shall not make any press release, public announcement or other communication with respect to Parent or its Affiliates, this Agreement or the Merger Agreement and the transactions contemplated hereby and thereby, without the prior written consent of the Company and Parent, except (a) as required by applicable law (including the filing of a Schedule 13D with the SEC which may include this Agreement as an exhibit thereto), in which case, to the extent legally permissible, the Company and Parent shall have a reasonable opportunity to review and comment on such communication before Stockholder makes such communication public and Stockholder shall give reasonable and good faith consideration to any such comments and (b) for any such communication that is materially consistent with previous public announcements by the Company or Parent.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14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that the transactions and agreements contemplated hereby are fulfilled to the fullest extent possible.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15         </w:t>
      </w:r>
      <w:r>
        <w:rPr>
          <w:rFonts w:ascii="Times New Roman" w:hAnsi="Times New Roman"/>
          <w:color w:val="000000"/>
          <w:sz w:val="20"/>
          <w:u w:val="single"/>
        </w:rPr>
        <w:t>Assignment</w:t>
      </w:r>
      <w:r>
        <w:rPr>
          <w:rFonts w:ascii="Times New Roman" w:hAnsi="Times New Roman"/>
          <w:color w:val="000000"/>
          <w:sz w:val="20"/>
        </w:rPr>
        <w:t>. Neither this Agreement nor any of the rights, interests or obligations under this Agreement shall be assigned, in whole or in part, by operation of Law or otherwise by any of the parties without the prior written consent of the other party. Any purported assignment without such consent shall be void. Subject to the preceding sentences, this Agreement shall be binding upon, inure to the benefit of, and be enforceable by the parties and their respective permitted successors and assigns.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16         </w:t>
      </w:r>
      <w:r>
        <w:rPr>
          <w:rFonts w:ascii="Times New Roman" w:hAnsi="Times New Roman"/>
          <w:color w:val="000000"/>
          <w:sz w:val="20"/>
          <w:u w:val="single"/>
        </w:rPr>
        <w:t>Amendments and Waivers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This Agreement may not be amended or supplemented except by an instrument in writing signed by the parties.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No provision of this Agreement may be waived or extended except by an instrument in writing signed by the party to be bound thereby. The failure of any party to assert any rights or remedies will not constitute a waiver of such rights or remedies.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17         </w:t>
      </w:r>
      <w:r>
        <w:rPr>
          <w:rFonts w:ascii="Times New Roman" w:hAnsi="Times New Roman"/>
          <w:color w:val="000000"/>
          <w:sz w:val="20"/>
          <w:u w:val="single"/>
        </w:rPr>
        <w:t>Governing Law</w:t>
      </w:r>
      <w:r>
        <w:rPr>
          <w:rFonts w:ascii="Times New Roman" w:hAnsi="Times New Roman"/>
          <w:color w:val="000000"/>
          <w:sz w:val="20"/>
        </w:rPr>
        <w:t>. This Agreement, and any Action arising out of or relating to this Agreement or the transactions contemplated hereby, will be governed by, and construed in accordance with, the Laws of the State of Delaware, regardless of the Laws that might otherwise govern under applicable principles of conflicts of laws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18        </w:t>
      </w:r>
      <w:r>
        <w:rPr>
          <w:rFonts w:ascii="Times New Roman" w:hAnsi="Times New Roman"/>
          <w:color w:val="000000"/>
          <w:sz w:val="20"/>
          <w:u w:val="single"/>
        </w:rPr>
        <w:t>Jurisdiction; Forum</w:t>
      </w:r>
      <w:r>
        <w:rPr>
          <w:rFonts w:ascii="Times New Roman" w:hAnsi="Times New Roman"/>
          <w:color w:val="000000"/>
          <w:sz w:val="20"/>
        </w:rPr>
        <w:t>. Each party (a) expressly and irrevocably submits to the exclusive personal jurisdiction of the Court of Chancery of the State of Delaware (or if the Court of Chancery of the State of Delaware lacks subject matter jurisdiction, the United States District Court for the District of Delaware) (the “</w:t>
      </w:r>
      <w:r>
        <w:rPr>
          <w:rFonts w:ascii="Times New Roman" w:hAnsi="Times New Roman"/>
          <w:color w:val="000000"/>
          <w:sz w:val="20"/>
          <w:u w:val="single"/>
        </w:rPr>
        <w:t>Chosen Courts</w:t>
      </w:r>
      <w:r>
        <w:rPr>
          <w:rFonts w:ascii="Times New Roman" w:hAnsi="Times New Roman"/>
          <w:color w:val="000000"/>
          <w:sz w:val="20"/>
        </w:rPr>
        <w:t>”), (b) agrees that it shall not attempt to deny or defeat such personal jurisdiction by motion or other request for leave from any such Chosen Court, (c) agrees that any Actions arising in connection with or relating to this Agreement or the transactions contemplated hereby shall be brought only in the Chosen Courts, (d) waives any claim of improper venue or any claim that the Chosen Courts are an inconvenient forum and (e) agrees that it shall not bring any Action relating to this Agreement or the transactions contemplated hereby in any court other than the Chosen Courts; provided that each party has the right to bring any action or proceeding for enforcement of a judgment entered by the Chosen Courts in any other court or jurisdiction.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19        </w:t>
      </w:r>
      <w:r>
        <w:rPr>
          <w:rFonts w:ascii="Times New Roman" w:hAnsi="Times New Roman"/>
          <w:color w:val="000000"/>
          <w:sz w:val="20"/>
          <w:u w:val="single"/>
        </w:rPr>
        <w:t>WAIVER OF JURY TRIAL</w:t>
      </w:r>
      <w:r>
        <w:rPr>
          <w:rFonts w:ascii="Times New Roman" w:hAnsi="Times New Roman"/>
          <w:color w:val="000000"/>
          <w:sz w:val="20"/>
        </w:rPr>
        <w:t xml:space="preserve">. EACH PARTY ACKNOWLEDGES AND AGREES THAT ANY CONTROVERSY WHICH MAY ARISE UNDER THIS AGREEMENT IS LIKELY TO INVOLVE COMPLICATED AND DIFFICULT ISSUES AND, THEREFORE, EACH PARTY IRREVOCABLY AND UNCONDITIONALLY WAIVES ANY RIGHT IT MAY HAVE TO A TRIAL BY JURY IN ANY LITIGATION ARISING OUT OF, RELATING TO OR IN CONNECTION WITH THIS AGREEMENT, THE OTHER DOCUMENTS AND AGREEMENTS DELIVERED IN CONNECTION HEREWITH OR THE TRANSACTIONS CONTEMPLATED HEREBY OR THEREBY. EACH PARTY CERTIFIES AND ACKNOWLEDGES THAT (A) NO REPRESENTATIVE, AGENT OR ATTORNEY OF ANY PARTY HAS REPRESENTED, EXPRESSLY OR OTHERWISE, THAT SUCH PARTY WOULD NOT, IN THE EVENT OF LITIGATION, SEEK TO ENFORCE THE FOREGOING WAIVER IN THE EVENT OF AN ACTION, (B) EACH PARTY UNDERSTANDS AND HAS CONSIDERED THE IMPLICATION OF THIS WAIVER, (C) EACH PARTY MAKES THIS WAIVER VOLUNTARILY AND (D) EACH OTHER PARTY HAS BEEN INDUCED TO ENTER INTO THIS AGREEMENT BY, AMONG OTHER THINGS, THE MUTUAL WAIVERS AND CERTIFICATIONS IN THIS </w:t>
      </w:r>
      <w:r>
        <w:rPr>
          <w:rFonts w:ascii="Times New Roman" w:hAnsi="Times New Roman"/>
          <w:color w:val="000000"/>
          <w:sz w:val="20"/>
          <w:u w:val="single"/>
        </w:rPr>
        <w:t>SECTION 19</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       </w:t>
      </w:r>
      <w:r>
        <w:rPr>
          <w:rFonts w:ascii="Times New Roman" w:hAnsi="Times New Roman"/>
          <w:color w:val="000000"/>
          <w:sz w:val="20"/>
          <w:u w:val="single"/>
        </w:rPr>
        <w:t>No Agreement Until Executed; No Ownership Interest</w:t>
      </w:r>
      <w:r>
        <w:rPr>
          <w:rFonts w:ascii="Times New Roman" w:hAnsi="Times New Roman"/>
          <w:color w:val="000000"/>
          <w:sz w:val="20"/>
        </w:rPr>
        <w:t>. Irrespective of negotiations among the parties hereto or the exchanging of drafts of this Agreement, this Agreement shall not constitute or be deemed to evidence a contract, agreement, arrangement or understanding between the parties hereto unless and until (a) the Merger Agreement is executed by all parties thereto, and (b) this Agreement is executed by the parties hereto. Except as otherwise provided herein, nothing contained in this Agreement shall be deemed to vest in Parent or Merger Sub any direct or indirect ownership or incidence of ownership of or with respect to the Shares. All rights, ownership and economic benefits of and relating to the Shares shall remain vested in and belong to the Stockholder, and neither Parent nor Merger Sub shall have any authority to manage, direct, restrict, regulate, govern, or administer any of the policies or operations of the Company as a result of this Agreement or exercise any power or authority to direct the Stockholder in the voting of any of the Shares, except as otherwise provided herein.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        </w:t>
      </w:r>
      <w:r>
        <w:rPr>
          <w:rFonts w:ascii="Times New Roman" w:hAnsi="Times New Roman"/>
          <w:color w:val="000000"/>
          <w:sz w:val="20"/>
          <w:u w:val="single"/>
        </w:rPr>
        <w:t>Certain Events</w:t>
      </w:r>
      <w:r>
        <w:rPr>
          <w:rFonts w:ascii="Times New Roman" w:hAnsi="Times New Roman"/>
          <w:color w:val="000000"/>
          <w:sz w:val="20"/>
        </w:rPr>
        <w:t>. Notwithstanding anything in this Agreement to the contrary, if, at any time occurring on or after the date hereof and prior to the Effective Time, any change in the outstanding equity interests or capital structure of the Company shall occur as a result of any reorganization, reclassification, recapitalization, division or subdivision of shares, consolidation of shares, stock split (including a reverse stock split), exchange or readjustment of shares, or any stock dividend or stock distribution or other similar transaction, the type and number of the Shares subject to this Agreement shall be adjusted appropriately, and this Agreement and the obligations hereunder shall automatically attach to any Shares, New Shares or other securities issued to or acquired by the Stockholder or any of its controlled Affiliates.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22         </w:t>
      </w:r>
      <w:r>
        <w:rPr>
          <w:rFonts w:ascii="Times New Roman" w:hAnsi="Times New Roman"/>
          <w:color w:val="000000"/>
          <w:sz w:val="20"/>
          <w:u w:val="single"/>
        </w:rPr>
        <w:t>Entire Agreement</w:t>
      </w:r>
      <w:r>
        <w:rPr>
          <w:rFonts w:ascii="Times New Roman" w:hAnsi="Times New Roman"/>
          <w:color w:val="000000"/>
          <w:sz w:val="20"/>
        </w:rPr>
        <w:t>. This Agreement, including the Schedule hereto, and the other documents delivered in connection with this Agreement, constitute the entire agreement, and supersede all prior agreements and understandings, both written and oral, among the parties with respect to the subject matter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23        </w:t>
      </w:r>
      <w:r>
        <w:rPr>
          <w:rFonts w:ascii="Times New Roman" w:hAnsi="Times New Roman"/>
          <w:color w:val="000000"/>
          <w:sz w:val="20"/>
          <w:u w:val="single"/>
        </w:rPr>
        <w:t>Counterparts; Effectiveness; PDF Signature</w:t>
      </w:r>
      <w:r>
        <w:rPr>
          <w:rFonts w:ascii="Times New Roman" w:hAnsi="Times New Roman"/>
          <w:color w:val="000000"/>
          <w:sz w:val="20"/>
        </w:rPr>
        <w:t>. This Agreement may be executed and delivered in any number of counterparts, including by executed signatures in electronic format, including “pdf,” and other electronic signatures, including DocuSign and AdobeSign, in each case transmitted by email, each of which when executed will be deemed to be an original but all of which taken together will constitute one and the same agreement. This Agreement shall become effective when each party shall have received a counterpart of this Agreement signed by the other party. Until and unless each party has received a counterpart of this Agreement signed by each other party, this Agreement shall have no effect and neither Parent nor the Stockholder shall have any right or obligation hereunder (whether by virtue of any other oral or written agreement or other communication).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24       </w:t>
      </w:r>
      <w:r>
        <w:rPr>
          <w:rFonts w:ascii="Times New Roman" w:hAnsi="Times New Roman"/>
          <w:color w:val="000000"/>
          <w:sz w:val="20"/>
          <w:u w:val="single"/>
        </w:rPr>
        <w:t>Expenses</w:t>
      </w:r>
      <w:r>
        <w:rPr>
          <w:rFonts w:ascii="Times New Roman" w:hAnsi="Times New Roman"/>
          <w:color w:val="000000"/>
          <w:sz w:val="20"/>
        </w:rPr>
        <w:t>. Except as otherwise specifically provided herein, each party shall bear its own expenses in connection with this Agreement and the transactions contemplated hereby, whether or not the Merger is consummated.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25         </w:t>
      </w:r>
      <w:r>
        <w:rPr>
          <w:rFonts w:ascii="Times New Roman" w:hAnsi="Times New Roman"/>
          <w:color w:val="000000"/>
          <w:sz w:val="20"/>
          <w:u w:val="single"/>
        </w:rPr>
        <w:t>Other Definitional and Interpretive Provisions</w:t>
      </w:r>
      <w:r>
        <w:rPr>
          <w:rFonts w:ascii="Times New Roman" w:hAnsi="Times New Roman"/>
          <w:color w:val="000000"/>
          <w:sz w:val="20"/>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“Dollars” and “$” mean U.S. dollars; (d) references herein (whether capitalized or not) to a specific Section, Subsection, Recital or Schedule shall refer, respectively, to Sections, Subsections, Recitals or Schedules of this Agreement; (e) wherever the word “include,” “includes” or “including” is used in this Agreement, it shall be deemed to be followed by the words “without limitation”; (f) references herein to any gender shall include each other gender; (g) with respect to the determination of any period of time, the word “from” means “from and including” and the words “to” and “until” each means “to but excluding”; (h) the word “or” shall be disjunctive but not exclusive; (i) the word “will” shall be construed to have the same meaning and effect as the word “shall”; (j) references herein to any Law shall be deemed to refer to such Law as amended, modified, codified, reenacted, supplemented or superseded in whole or in part and in effect from time to time, and also to all rules and regulations promulgated thereunder; (k) references herein to any Contract mean such Contract as amended, supplemented or modified (including any waiver thereof) in accordance with the terms thereof; (l) the headings contained in this Agreement are intended solely for convenience and shall not affect the rights of the parties; (m) except as otherwise specifically set forth herein, when calculating the period of time before which, within which or following which any act is to be done or step taken pursuant to this Agreement, the date that is the reference date in calculating such period shall be excluded;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(n) references herein to “as of the date hereof,” “as of the date of this Agreement” or words of similar import shall be deemed to mean “as of immediately prior to the execution and delivery of this Agreement”; (o) the words “to the extent” shall mean the degree to which the subject matter thereof relates and shall not merely mean “if”; (p) any reference to any Person shall be construed to include such Person’s successors and assigns; and (q) unless the context otherwise requires, the term “party” or “Party” when used in this Agreement means a party to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26         </w:t>
      </w:r>
      <w:r>
        <w:rPr>
          <w:rFonts w:ascii="Times New Roman" w:hAnsi="Times New Roman"/>
          <w:color w:val="000000"/>
          <w:sz w:val="20"/>
          <w:u w:val="single"/>
        </w:rPr>
        <w:t>Construction</w:t>
      </w:r>
      <w:r>
        <w:rPr>
          <w:rFonts w:ascii="Times New Roman" w:hAnsi="Times New Roman"/>
          <w:color w:val="000000"/>
          <w:sz w:val="20"/>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party hereto has duly executed and delivered this Agreement, all as of the date first above written.</w:t>
      </w:r>
    </w:p>
    <w:p>
      <w:pPr>
        <w:pStyle w:val="TextBody"/>
        <w:bidi w:val="0"/>
        <w:spacing w:before="0" w:after="0"/>
        <w:ind w:left="0" w:right="0" w:firstLine="720"/>
        <w:jc w:val="both"/>
        <w:rPr/>
      </w:pPr>
      <w:r>
        <w:rPr/>
      </w:r>
    </w:p>
    <w:tbl>
      <w:tblPr>
        <w:tblW w:w="4774" w:type="dxa"/>
        <w:jc w:val="left"/>
        <w:tblInd w:w="0" w:type="dxa"/>
        <w:tblLayout w:type="fixed"/>
        <w:tblCellMar>
          <w:top w:w="0" w:type="dxa"/>
          <w:left w:w="0" w:type="dxa"/>
          <w:bottom w:w="0" w:type="dxa"/>
          <w:right w:w="0" w:type="dxa"/>
        </w:tblCellMar>
      </w:tblPr>
      <w:tblGrid>
        <w:gridCol w:w="60"/>
        <w:gridCol w:w="4385"/>
        <w:gridCol w:w="329"/>
      </w:tblGrid>
      <w:tr>
        <w:trPr/>
        <w:tc>
          <w:tcPr>
            <w:tcW w:w="60"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b/>
              </w:rPr>
            </w:pPr>
            <w:r>
              <w:rPr>
                <w:b/>
              </w:rPr>
              <w:t>[STOCKHOLDER]</w:t>
            </w:r>
          </w:p>
        </w:tc>
      </w:tr>
      <w:tr>
        <w:trPr/>
        <w:tc>
          <w:tcPr>
            <w:tcW w:w="60"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pPr>
            <w:r>
              <w:rPr/>
              <w:t>By:</w:t>
            </w:r>
          </w:p>
        </w:tc>
        <w:tc>
          <w:tcPr>
            <w:tcW w:w="32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color w:val="000000"/>
              </w:rPr>
            </w:pPr>
            <w:r>
              <w:rPr>
                <w:color w:val="000000"/>
              </w:rPr>
              <w:t>Name:</w:t>
            </w:r>
          </w:p>
        </w:tc>
        <w:tc>
          <w:tcPr>
            <w:tcW w:w="32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color w:val="000000"/>
              </w:rPr>
            </w:pPr>
            <w:r>
              <w:rPr>
                <w:color w:val="000000"/>
              </w:rPr>
              <w:t>Title:</w:t>
            </w:r>
          </w:p>
        </w:tc>
        <w:tc>
          <w:tcPr>
            <w:tcW w:w="32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color w:val="000000"/>
              </w:rPr>
            </w:pPr>
            <w:r>
              <w:rPr>
                <w:color w:val="000000"/>
              </w:rPr>
              <w:t>E-mail:</w:t>
            </w:r>
          </w:p>
        </w:tc>
        <w:tc>
          <w:tcPr>
            <w:tcW w:w="32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color w:val="000000"/>
              </w:rPr>
            </w:pPr>
            <w:r>
              <w:rPr>
                <w:color w:val="000000"/>
              </w:rPr>
              <w:t>Address:</w:t>
            </w:r>
          </w:p>
        </w:tc>
        <w:tc>
          <w:tcPr>
            <w:tcW w:w="32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With a copy to (which shall not constitute notice):</w:t>
            </w:r>
          </w:p>
        </w:tc>
      </w:tr>
      <w:tr>
        <w:trPr/>
        <w:tc>
          <w:tcPr>
            <w:tcW w:w="60"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Sullivan &amp; Cromwell LLP</w:t>
            </w:r>
          </w:p>
        </w:tc>
      </w:tr>
      <w:tr>
        <w:trPr/>
        <w:tc>
          <w:tcPr>
            <w:tcW w:w="60"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125 Broad Street</w:t>
            </w:r>
          </w:p>
        </w:tc>
      </w:tr>
      <w:tr>
        <w:trPr/>
        <w:tc>
          <w:tcPr>
            <w:tcW w:w="60"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New York, NY 10004</w:t>
            </w:r>
          </w:p>
        </w:tc>
      </w:tr>
    </w:tbl>
    <w:tbl>
      <w:tblPr>
        <w:tblW w:w="2545" w:type="dxa"/>
        <w:jc w:val="left"/>
        <w:tblInd w:w="0" w:type="dxa"/>
        <w:tblLayout w:type="fixed"/>
        <w:tblCellMar>
          <w:top w:w="0" w:type="dxa"/>
          <w:left w:w="0" w:type="dxa"/>
          <w:bottom w:w="0" w:type="dxa"/>
          <w:right w:w="0" w:type="dxa"/>
        </w:tblCellMar>
      </w:tblPr>
      <w:tblGrid>
        <w:gridCol w:w="60"/>
        <w:gridCol w:w="710"/>
        <w:gridCol w:w="1775"/>
      </w:tblGrid>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color w:val="000000"/>
              </w:rPr>
            </w:pPr>
            <w:r>
              <w:rPr>
                <w:color w:val="000000"/>
              </w:rPr>
              <w:t>Attn:</w:t>
            </w:r>
          </w:p>
        </w:tc>
        <w:tc>
          <w:tcPr>
            <w:tcW w:w="1775" w:type="dxa"/>
            <w:tcBorders/>
            <w:vAlign w:val="center"/>
          </w:tcPr>
          <w:p>
            <w:pPr>
              <w:pStyle w:val="TableContents"/>
              <w:bidi w:val="0"/>
              <w:spacing w:before="0" w:after="283"/>
              <w:jc w:val="left"/>
              <w:rPr/>
            </w:pPr>
            <w:r>
              <w:rPr/>
              <w:t>Matthew G. Hurd;</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r>
          </w:p>
        </w:tc>
        <w:tc>
          <w:tcPr>
            <w:tcW w:w="1775" w:type="dxa"/>
            <w:tcBorders/>
            <w:vAlign w:val="center"/>
          </w:tcPr>
          <w:p>
            <w:pPr>
              <w:pStyle w:val="TableContents"/>
              <w:bidi w:val="0"/>
              <w:spacing w:before="0" w:after="0"/>
              <w:jc w:val="left"/>
              <w:rPr>
                <w:color w:val="000000"/>
              </w:rPr>
            </w:pPr>
            <w:r>
              <w:rPr>
                <w:color w:val="000000"/>
              </w:rPr>
              <w:t>Bradley S. King</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color w:val="000000"/>
              </w:rPr>
            </w:pPr>
            <w:r>
              <w:rPr>
                <w:color w:val="000000"/>
              </w:rPr>
              <w:t>E-mail:</w:t>
            </w:r>
          </w:p>
        </w:tc>
        <w:tc>
          <w:tcPr>
            <w:tcW w:w="1775" w:type="dxa"/>
            <w:tcBorders/>
            <w:vAlign w:val="center"/>
          </w:tcPr>
          <w:p>
            <w:pPr>
              <w:pStyle w:val="TableContents"/>
              <w:bidi w:val="0"/>
              <w:spacing w:before="0" w:after="0"/>
              <w:jc w:val="left"/>
              <w:rPr/>
            </w:pPr>
            <w:r>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party hereto has duly executed and delivered this Agreement, all as of the date first above written.</w:t>
      </w:r>
    </w:p>
    <w:p>
      <w:pPr>
        <w:pStyle w:val="TextBody"/>
        <w:bidi w:val="0"/>
        <w:spacing w:before="0" w:after="0"/>
        <w:jc w:val="left"/>
        <w:rPr/>
      </w:pPr>
      <w:r>
        <w:rPr/>
      </w:r>
    </w:p>
    <w:tbl>
      <w:tblPr>
        <w:tblW w:w="1249" w:type="dxa"/>
        <w:jc w:val="left"/>
        <w:tblInd w:w="0" w:type="dxa"/>
        <w:tblLayout w:type="fixed"/>
        <w:tblCellMar>
          <w:top w:w="0" w:type="dxa"/>
          <w:left w:w="0" w:type="dxa"/>
          <w:bottom w:w="0" w:type="dxa"/>
          <w:right w:w="0" w:type="dxa"/>
        </w:tblCellMar>
      </w:tblPr>
      <w:tblGrid>
        <w:gridCol w:w="60"/>
        <w:gridCol w:w="1080"/>
        <w:gridCol w:w="109"/>
      </w:tblGrid>
      <w:tr>
        <w:trPr/>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0"/>
              <w:jc w:val="left"/>
              <w:rPr>
                <w:b/>
              </w:rPr>
            </w:pPr>
            <w:r>
              <w:rPr>
                <w:b/>
              </w:rPr>
              <w:t>[PARENT]</w:t>
            </w:r>
          </w:p>
        </w:tc>
      </w:tr>
      <w:tr>
        <w:trPr/>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0"/>
              <w:jc w:val="left"/>
              <w:rPr/>
            </w:pPr>
            <w:r>
              <w:rPr/>
              <w:t>By:</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0"/>
              <w:jc w:val="left"/>
              <w:rPr>
                <w:color w:val="000000"/>
              </w:rPr>
            </w:pPr>
            <w:r>
              <w:rPr>
                <w:color w:val="000000"/>
              </w:rPr>
              <w:t>Name:</w:t>
            </w:r>
          </w:p>
        </w:tc>
        <w:tc>
          <w:tcPr>
            <w:tcW w:w="10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0"/>
              <w:jc w:val="left"/>
              <w:rPr>
                <w:color w:val="000000"/>
              </w:rPr>
            </w:pPr>
            <w:r>
              <w:rPr>
                <w:color w:val="000000"/>
              </w:rPr>
              <w:t>Title:</w:t>
            </w:r>
          </w:p>
        </w:tc>
        <w:tc>
          <w:tcPr>
            <w:tcW w:w="109"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1</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Stockholder (Name):</w:t>
      </w:r>
    </w:p>
    <w:p>
      <w:pPr>
        <w:pStyle w:val="TextBody"/>
        <w:bidi w:val="0"/>
        <w:spacing w:before="0" w:after="0"/>
        <w:jc w:val="left"/>
        <w:rPr/>
      </w:pPr>
      <w:r>
        <w:rPr/>
      </w:r>
    </w:p>
    <w:tbl>
      <w:tblPr>
        <w:tblW w:w="4935" w:type="dxa"/>
        <w:jc w:val="center"/>
        <w:tblInd w:w="0" w:type="dxa"/>
        <w:tblLayout w:type="fixed"/>
        <w:tblCellMar>
          <w:top w:w="0" w:type="dxa"/>
          <w:left w:w="0" w:type="dxa"/>
          <w:bottom w:w="28" w:type="dxa"/>
          <w:right w:w="0" w:type="dxa"/>
        </w:tblCellMar>
      </w:tblPr>
      <w:tblGrid>
        <w:gridCol w:w="1775"/>
        <w:gridCol w:w="60"/>
        <w:gridCol w:w="1370"/>
        <w:gridCol w:w="60"/>
        <w:gridCol w:w="1670"/>
      </w:tblGrid>
      <w:tr>
        <w:trPr/>
        <w:tc>
          <w:tcPr>
            <w:tcW w:w="1775" w:type="dxa"/>
            <w:tcBorders>
              <w:bottom w:val="single" w:sz="12" w:space="0" w:color="000000"/>
            </w:tcBorders>
            <w:vAlign w:val="center"/>
          </w:tcPr>
          <w:p>
            <w:pPr>
              <w:pStyle w:val="TableContents"/>
              <w:bidi w:val="0"/>
              <w:spacing w:before="0" w:after="0"/>
              <w:jc w:val="center"/>
              <w:rPr>
                <w:b/>
              </w:rPr>
            </w:pPr>
            <w:r>
              <w:rPr>
                <w:b/>
              </w:rPr>
              <w:t>Company Shares</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0"/>
              <w:jc w:val="center"/>
              <w:rPr>
                <w:sz w:val="24"/>
              </w:rPr>
            </w:pPr>
            <w:r>
              <w:rPr>
                <w:b/>
                <w:sz w:val="20"/>
              </w:rPr>
              <w:t>Company</w:t>
            </w:r>
            <w:r>
              <w:rPr>
                <w:sz w:val="24"/>
              </w:rPr>
              <w:t> </w:t>
            </w:r>
            <w:r>
              <w:rPr>
                <w:b/>
                <w:sz w:val="20"/>
              </w:rPr>
              <w:t>Stock</w:t>
            </w:r>
          </w:p>
          <w:p>
            <w:pPr>
              <w:pStyle w:val="TableContents"/>
              <w:bidi w:val="0"/>
              <w:spacing w:before="0" w:after="0"/>
              <w:jc w:val="center"/>
              <w:rPr>
                <w:b/>
                <w:sz w:val="20"/>
              </w:rPr>
            </w:pPr>
            <w:r>
              <w:rPr>
                <w:b/>
                <w:sz w:val="20"/>
              </w:rPr>
              <w:t>Options</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12" w:space="0" w:color="000000"/>
            </w:tcBorders>
            <w:vAlign w:val="center"/>
          </w:tcPr>
          <w:p>
            <w:pPr>
              <w:pStyle w:val="TableContents"/>
              <w:bidi w:val="0"/>
              <w:spacing w:before="0" w:after="0"/>
              <w:jc w:val="center"/>
              <w:rPr>
                <w:b/>
              </w:rPr>
            </w:pPr>
            <w:r>
              <w:rPr>
                <w:b/>
              </w:rPr>
              <w:t>Company RSUs</w:t>
            </w:r>
          </w:p>
        </w:tc>
      </w:tr>
      <w:tr>
        <w:trPr/>
        <w:tc>
          <w:tcPr>
            <w:tcW w:w="1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0"/>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6" w:name="Exhibit99.1"/>
      <w:bookmarkEnd w:id="6"/>
      <w:r>
        <w:rPr>
          <w:rFonts w:ascii="Times New Roman" w:hAnsi="Times New Roman"/>
          <w:b/>
          <w:color w:val="000000"/>
          <w:sz w:val="20"/>
        </w:rPr>
        <w:t>Exhibit 99.1</w:t>
      </w:r>
    </w:p>
    <w:p>
      <w:pPr>
        <w:pStyle w:val="TextBody"/>
        <w:bidi w:val="0"/>
        <w:spacing w:before="0" w:after="0"/>
        <w:jc w:val="right"/>
        <w:rPr>
          <w:b/>
        </w:rPr>
      </w:pPr>
      <w:r>
        <w:rPr>
          <w:b/>
        </w:rPr>
      </w:r>
    </w:p>
    <w:p>
      <w:pPr>
        <w:pStyle w:val="TextBody"/>
        <w:bidi w:val="0"/>
        <w:spacing w:before="0" w:after="0"/>
        <w:jc w:val="right"/>
        <w:rPr>
          <w:color w:val="000000"/>
        </w:rPr>
      </w:pPr>
      <w:r>
        <w:rPr>
          <w:color w:val="000000"/>
        </w:rPr>
        <w:drawing>
          <wp:inline distT="0" distB="0" distL="0" distR="0">
            <wp:extent cx="113347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3475" cy="6286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July 16, 2026</w:t>
      </w:r>
    </w:p>
    <w:p>
      <w:pPr>
        <w:pStyle w:val="TextBody"/>
        <w:bidi w:val="0"/>
        <w:spacing w:before="0" w:after="0"/>
        <w:jc w:val="left"/>
        <w:rPr/>
      </w:pPr>
      <w:r>
        <w:rPr/>
      </w:r>
    </w:p>
    <w:tbl>
      <w:tblPr>
        <w:tblW w:w="6910" w:type="dxa"/>
        <w:jc w:val="left"/>
        <w:tblInd w:w="0" w:type="dxa"/>
        <w:tblLayout w:type="fixed"/>
        <w:tblCellMar>
          <w:top w:w="0" w:type="dxa"/>
          <w:left w:w="0" w:type="dxa"/>
          <w:bottom w:w="0" w:type="dxa"/>
          <w:right w:w="0" w:type="dxa"/>
        </w:tblCellMar>
      </w:tblPr>
      <w:tblGrid>
        <w:gridCol w:w="1295"/>
        <w:gridCol w:w="5615"/>
      </w:tblGrid>
      <w:tr>
        <w:trPr/>
        <w:tc>
          <w:tcPr>
            <w:tcW w:w="1295" w:type="dxa"/>
            <w:tcBorders/>
            <w:vAlign w:val="center"/>
          </w:tcPr>
          <w:p>
            <w:pPr>
              <w:pStyle w:val="TableContents"/>
              <w:bidi w:val="0"/>
              <w:spacing w:before="0" w:after="0"/>
              <w:jc w:val="left"/>
              <w:rPr>
                <w:b/>
              </w:rPr>
            </w:pPr>
            <w:r>
              <w:rPr>
                <w:b/>
              </w:rPr>
              <w:t>For Release:</w:t>
            </w:r>
          </w:p>
        </w:tc>
        <w:tc>
          <w:tcPr>
            <w:tcW w:w="5615" w:type="dxa"/>
            <w:tcBorders/>
            <w:vAlign w:val="center"/>
          </w:tcPr>
          <w:p>
            <w:pPr>
              <w:pStyle w:val="TableContents"/>
              <w:bidi w:val="0"/>
              <w:spacing w:before="0" w:after="0"/>
              <w:jc w:val="left"/>
              <w:rPr/>
            </w:pPr>
            <w:r>
              <w:rPr/>
              <w:t>Immediately</w:t>
            </w:r>
          </w:p>
        </w:tc>
      </w:tr>
      <w:tr>
        <w:trPr/>
        <w:tc>
          <w:tcPr>
            <w:tcW w:w="1295" w:type="dxa"/>
            <w:tcBorders/>
            <w:vAlign w:val="center"/>
          </w:tcPr>
          <w:p>
            <w:pPr>
              <w:pStyle w:val="TableContents"/>
              <w:bidi w:val="0"/>
              <w:spacing w:before="0" w:after="0"/>
              <w:jc w:val="left"/>
              <w:rPr>
                <w:b/>
              </w:rPr>
            </w:pPr>
            <w:r>
              <w:rPr>
                <w:b/>
              </w:rPr>
              <w:t>Refer to:</w:t>
            </w:r>
          </w:p>
        </w:tc>
        <w:tc>
          <w:tcPr>
            <w:tcW w:w="5615" w:type="dxa"/>
            <w:tcBorders/>
            <w:vAlign w:val="center"/>
          </w:tcPr>
          <w:p>
            <w:pPr>
              <w:pStyle w:val="TableContents"/>
              <w:bidi w:val="0"/>
              <w:spacing w:before="0" w:after="0"/>
              <w:jc w:val="left"/>
              <w:rPr/>
            </w:pPr>
            <w:r>
              <w:rPr/>
              <w:t xml:space="preserve">Jessica Bardoulas; </w:t>
            </w:r>
            <w:r>
              <w:rPr>
                <w:u w:val="single"/>
              </w:rPr>
              <w:t>jessica.bardoulas@lilly.com</w:t>
            </w:r>
            <w:r>
              <w:rPr/>
              <w:t>; (Media)</w:t>
            </w:r>
          </w:p>
        </w:tc>
      </w:tr>
      <w:tr>
        <w:trPr/>
        <w:tc>
          <w:tcPr>
            <w:tcW w:w="1295"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pPr>
            <w:r>
              <w:rPr/>
              <w:t xml:space="preserve">Michael Czapar; </w:t>
            </w:r>
            <w:r>
              <w:rPr>
                <w:u w:val="single"/>
              </w:rPr>
              <w:t>czapar_michael_c@lilly.com</w:t>
            </w:r>
            <w:r>
              <w:rPr/>
              <w:t>; (Investors)</w:t>
            </w:r>
          </w:p>
        </w:tc>
      </w:tr>
      <w:tr>
        <w:trPr/>
        <w:tc>
          <w:tcPr>
            <w:tcW w:w="1295"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pPr>
            <w:r>
              <w:rPr/>
              <w:t>Jason Awe, PhD; Jason.Awe@ataibeckley.com (Investors)</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Lilly to acquire AtaiBeckley to advance therapies for treatment-resistant depression and other mental health conditions</w:t>
      </w:r>
    </w:p>
    <w:p>
      <w:pPr>
        <w:pStyle w:val="TextBody"/>
        <w:bidi w:val="0"/>
        <w:spacing w:before="0" w:after="0"/>
        <w:jc w:val="left"/>
        <w:rPr/>
      </w:pPr>
      <w:r>
        <w:rPr/>
      </w:r>
    </w:p>
    <w:p>
      <w:pPr>
        <w:pStyle w:val="TextBody"/>
        <w:bidi w:val="0"/>
        <w:spacing w:before="0" w:after="0"/>
        <w:ind w:left="360" w:right="0" w:hanging="0"/>
        <w:jc w:val="center"/>
        <w:rPr>
          <w:rFonts w:ascii="Times New Roman" w:hAnsi="Times New Roman"/>
          <w:i/>
          <w:color w:val="000000"/>
          <w:sz w:val="20"/>
        </w:rPr>
      </w:pPr>
      <w:r>
        <w:rPr>
          <w:rFonts w:ascii="Times New Roman" w:hAnsi="Times New Roman"/>
          <w:i/>
          <w:color w:val="000000"/>
          <w:sz w:val="20"/>
        </w:rPr>
        <w:t>AtaiBeckley’s lead program, BPL-003, is designed to provide durable relief from treatment-resistant depression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Acquisition expands Lilly’s neuroscience pipeline to address some of the most challenging conditions in mental health</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INDIANAPOLIS and NEW YORK, July 16, 2026 – Eli Lilly and Company (NYSE: LLY) and AtaiBeckley Inc. (Nasdaq: ATAI), a clinical-stage biopharmaceutical company developing innovative therapeutics for mental health conditions, today announced a definitive agreement for Lilly to acquire AtaiBeckley.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AtaiBeckley is advancing a pipeline of rapid-acting neuroplastogens, including multiple clinical-stage programs and a discovery pipeline of next-generation compounds. The lead asset, BPL-003 (mebufotenin benzoate), is a synthetic form of 5-MeO-DMT administered intranasally for treatment-resistant depression, which affects millions of people in the United States.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research indicates that treatment-resistant depression and other serious mental health conditions may involve a loss of synaptic plasticity, the brain’s ability to form and strengthen connections in regions critical to mood regulation. AtaiBeckley’s therapies are designed to restore synaptic connectivity and aim to promote the growth of new neural connections, offering a distinct mechanism from conventional antidepressants that primarily target neurotransmitter levels.</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4800600"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00600" cy="142875"/>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Treatment-resistant depression persists even after multiple treatments have failed. Millions of people are still searching for relief and desperately need a therapy that works,” said Carole Ho, executive vice president and president, Lilly Neuroscience. “Advancing AtaiBeckley’s investigational therapies gives us a real chance to change that.”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 Phase 2b study, BPL-003 demonstrated rapid and durable reductions in depressive symptoms following an in-clinic visit lasting approximately two hours on average, with beneficial effects persisting for months. BPL-003 has been granted Breakthrough Therapy Designation by the U.S. Food and Drug Administration and has initiated Phase 3 activities. VLS-01, the second most advanced program of the pipeline, is a buccal film formulation of DMT advancing in an ongoing Phase 2b study.</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Across our portfolio, we’re seeking to demonstrate that psychiatric illness is treatable at its biological root, not just its symptoms,” said Srinivas Rao, co-founder and chief executive officer of AtaiBeckley. “Lilly’s expertise and reach are expected to accelerate that work for people whose conditions have not responded to existing treatments.”</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From Atai’s founding, our mission has been to bring transformative mental health treatments to the patients who need them most. Joining Lilly gives this pipeline, and the patients waiting for it, the benefit of the resources and scale Lilly has to potentially advance therapies faster than we could alone. I am confident this transaction represents the best path forward for patients and shareholders,” said Christian Angermayer, founder, largest shareholder, and chairman of the board, AtaiBeckley.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212121"/>
          <w:sz w:val="20"/>
        </w:rPr>
      </w:pPr>
      <w:r>
        <w:rPr>
          <w:rFonts w:ascii="Times New Roman" w:hAnsi="Times New Roman"/>
          <w:color w:val="212121"/>
          <w:sz w:val="20"/>
        </w:rPr>
        <w:t>Under the terms of the agreement, Lilly will acquire all outstanding shares of AtaiBeckley common stock for $6.75 per share in cash upon closing; plus up to $2.50 per share in the form of a Contingent Value Right (CVR) entitling the holder to additional cash payments upon achievement of specified development and regulatory milestones related to the BPL-003 and VLS-01 programs as follows: (a) $1.00 per share upon initiation of a Phase 3 clinical trial of VLS-01 prior to the fourth anniversary of closing; (b) $0.50 per share upon U.S. regulatory approval and DEA rescheduling of BPL-003 prior to the fifth anniversary of closing; and (c) $1.00 per share upon U.S. regulatory approval and DEA rescheduling of VLS-01 prior to the seventh anniversary of closing. The upfront cash consideration represents an aggregate equity value of approximately $2.8 billion and the CVR represents an additional potential aggregate equity value of approximately $1.0 billion. There can be no assurance that any payments will be made with respect to the CVR.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not subject to any financing condition and is expected to close in the third quarter, subject to approval by AtaiBeckley stockholders and satisfaction of other customary closing conditions, including regulatory approvals. The purchase price payable at closing represents a premium of approximately 40% to the 30-day volume-weighted average trading price of AtaiBeckley’s common stock ended on July 15, 2026. The boards of directors of both companies have approved the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demonstrate their commitment to the transaction, Apeiron Investment Group, Ltd and all directors and officers of AtaiBeckley have signed voting and support agreements pursuant to which each has agreed to vote to approve the transaction. The shares subject to the voting agreements represent a total of approximately 15% of AtaiBeckley’s outstanding common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Lilly will determine the accounting treatment of this transaction in accordance with Generally Accepted Accounting Principles (GAAP) upon closing. This transaction will thereafter be reflected in Lilly’s financial results and financial guidance.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Goldman Sachs is acting as exclusive financial advisor and Ropes &amp; Gray is acting as legal counsel to Lilly. Moelis &amp; Company LLC and Centerview Partners LLC are acting as financial advisors and Latham &amp; Watkins is acting as legal counsel to AtaiBeckley. Citi also provided financial advice to the AtaiBeckley Board of Directors in the transaction.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AtaiBeckley</w:t>
      </w:r>
    </w:p>
    <w:p>
      <w:pPr>
        <w:pStyle w:val="TextBody"/>
        <w:bidi w:val="0"/>
        <w:spacing w:before="0" w:after="0"/>
        <w:jc w:val="left"/>
        <w:rPr>
          <w:b/>
        </w:rPr>
      </w:pPr>
      <w:r>
        <w:rPr>
          <w:b/>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AtaiBeckley is a clinical-stage biotechnology company on a mission to transform patient outcomes by developing rapid-acting, durable and convenient mental health treatments. AtaiBeckley’s pipeline of novel therapies includes BPL-003 (mebufotenin benzoate nasal spray) for treatment-resistant depression (TRD), VLS-01 (DMT buccal film) for TRD and EMP-01 ((R)-MDMA HCI) for social anxiety disorder. BPL-003 was granted Breakthrough Therapy Designation from the U.S. Food and Drug Administration and has initiated Phase 3 activities; VLS-01 and EMP-01 are in Phase 2 clinical development. The Company is also advancing a drug discovery program to identify novel, non-hallucinogenic 5-HT2AR agonists. These programs aim to create breakthroughs in mental health through transformative interventional psychiatry therapies that can integrate seamlessly into healthcare systems.</w:t>
      </w:r>
    </w:p>
    <w:p>
      <w:pPr>
        <w:pStyle w:val="TextBody"/>
        <w:bidi w:val="0"/>
        <w:spacing w:before="0" w:after="0"/>
        <w:jc w:val="left"/>
        <w:rPr/>
      </w:pPr>
      <w:r>
        <w:rPr/>
      </w:r>
    </w:p>
    <w:p>
      <w:pPr>
        <w:pStyle w:val="TextBody"/>
        <w:bidi w:val="0"/>
        <w:spacing w:before="0" w:after="0"/>
        <w:jc w:val="left"/>
        <w:rPr>
          <w:rFonts w:ascii="Times New Roman" w:hAnsi="Times New Roman"/>
          <w:b/>
          <w:color w:val="212121"/>
          <w:sz w:val="20"/>
        </w:rPr>
      </w:pPr>
      <w:r>
        <w:rPr>
          <w:rFonts w:ascii="Times New Roman" w:hAnsi="Times New Roman"/>
          <w:b/>
          <w:color w:val="212121"/>
          <w:sz w:val="20"/>
        </w:rPr>
        <w:t>About Lilly</w:t>
      </w:r>
    </w:p>
    <w:p>
      <w:pPr>
        <w:pStyle w:val="TextBody"/>
        <w:bidi w:val="0"/>
        <w:spacing w:before="0" w:after="0"/>
        <w:jc w:val="left"/>
        <w:rPr>
          <w:b/>
          <w:color w:val="212121"/>
        </w:rPr>
      </w:pPr>
      <w:r>
        <w:rPr>
          <w:b/>
          <w:color w:val="212121"/>
        </w:rPr>
      </w:r>
    </w:p>
    <w:p>
      <w:pPr>
        <w:pStyle w:val="TextBody"/>
        <w:bidi w:val="0"/>
        <w:spacing w:before="0" w:after="0"/>
        <w:jc w:val="left"/>
        <w:rPr>
          <w:rFonts w:ascii="Times New Roman" w:hAnsi="Times New Roman"/>
          <w:color w:val="000000"/>
          <w:sz w:val="20"/>
        </w:rPr>
      </w:pPr>
      <w:r>
        <w:rPr>
          <w:rFonts w:ascii="Times New Roman" w:hAnsi="Times New Roman"/>
          <w:color w:val="212121"/>
          <w:sz w:val="20"/>
        </w:rPr>
        <w:t xml:space="preserve">Lilly is a medicine company turning science into healing to make life better for people around the world. We’ve been pioneering life-changing discoveries for 150 years, and today our medicines help tens of millions of people across the globe. Harnessing the power of biotechnology, chemistry and genetic medicine, our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we’re motivated by one thing: making life better for millions more people. That includes delivering innovative clinical trials that reflect the diversity of our world and working to ensure our medicines are accessible and affordable. </w:t>
      </w:r>
      <w:r>
        <w:rPr>
          <w:rFonts w:ascii="Times New Roman" w:hAnsi="Times New Roman"/>
          <w:color w:val="000000"/>
          <w:sz w:val="20"/>
        </w:rPr>
        <w:t xml:space="preserve">To learn more, visit </w:t>
      </w:r>
      <w:r>
        <w:rPr>
          <w:rFonts w:ascii="Times New Roman" w:hAnsi="Times New Roman"/>
          <w:color w:val="000000"/>
          <w:sz w:val="20"/>
          <w:u w:val="single"/>
        </w:rPr>
        <w:t>Lilly.com</w:t>
      </w:r>
      <w:r>
        <w:rPr>
          <w:rFonts w:ascii="Times New Roman" w:hAnsi="Times New Roman"/>
          <w:color w:val="000000"/>
          <w:sz w:val="20"/>
        </w:rPr>
        <w:t xml:space="preserve"> and </w:t>
      </w:r>
      <w:r>
        <w:rPr>
          <w:rFonts w:ascii="Times New Roman" w:hAnsi="Times New Roman"/>
          <w:color w:val="000000"/>
          <w:sz w:val="20"/>
          <w:u w:val="single"/>
        </w:rPr>
        <w:t>Lilly.com/news</w:t>
      </w:r>
      <w:r>
        <w:rPr>
          <w:rFonts w:ascii="Times New Roman" w:hAnsi="Times New Roman"/>
          <w:color w:val="000000"/>
          <w:sz w:val="20"/>
        </w:rPr>
        <w:t xml:space="preserve">, or follow us on </w:t>
      </w:r>
      <w:r>
        <w:rPr>
          <w:rFonts w:ascii="Times New Roman" w:hAnsi="Times New Roman"/>
          <w:color w:val="000000"/>
          <w:sz w:val="20"/>
          <w:u w:val="single"/>
        </w:rPr>
        <w:t>Facebook</w:t>
      </w:r>
      <w:r>
        <w:rPr>
          <w:rFonts w:ascii="Times New Roman" w:hAnsi="Times New Roman"/>
          <w:color w:val="000000"/>
          <w:sz w:val="20"/>
        </w:rPr>
        <w:t xml:space="preserve">, </w:t>
      </w:r>
      <w:r>
        <w:rPr>
          <w:rFonts w:ascii="Times New Roman" w:hAnsi="Times New Roman"/>
          <w:color w:val="000000"/>
          <w:sz w:val="20"/>
          <w:u w:val="single"/>
        </w:rPr>
        <w:t>Instagram</w:t>
      </w:r>
      <w:r>
        <w:rPr>
          <w:rFonts w:ascii="Times New Roman" w:hAnsi="Times New Roman"/>
          <w:color w:val="000000"/>
          <w:sz w:val="20"/>
        </w:rPr>
        <w:t xml:space="preserve">, and </w:t>
      </w:r>
      <w:r>
        <w:rPr>
          <w:rFonts w:ascii="Times New Roman" w:hAnsi="Times New Roman"/>
          <w:color w:val="000000"/>
          <w:sz w:val="20"/>
          <w:u w:val="single"/>
        </w:rPr>
        <w:t>LinkedIn</w:t>
      </w:r>
      <w:r>
        <w:rPr>
          <w:rFonts w:ascii="Times New Roman" w:hAnsi="Times New Roman"/>
          <w:color w:val="000000"/>
          <w:sz w:val="20"/>
        </w:rPr>
        <w:t>. F-LLY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Trademarks and Trade Names</w:t>
      </w:r>
    </w:p>
    <w:p>
      <w:pPr>
        <w:pStyle w:val="TextBody"/>
        <w:bidi w:val="0"/>
        <w:spacing w:before="0" w:after="0"/>
        <w:jc w:val="left"/>
        <w:rPr>
          <w:b w:val="false"/>
          <w:color w:val="000000"/>
        </w:rPr>
      </w:pPr>
      <w:r>
        <w:rPr>
          <w:b w:val="false"/>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trademarks or trade names referred to in this press release are the property of the company, or, to the extent trademarks or trade names belonging to other companies are references in this press release, the property of their respective owners. Solely for convenience, the trademarks and trade names in this press release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No Offer or Solicitation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Additional Information about the Acquisition and Where to Find It</w:t>
      </w:r>
    </w:p>
    <w:p>
      <w:pPr>
        <w:pStyle w:val="TextBody"/>
        <w:bidi w:val="0"/>
        <w:spacing w:before="0" w:after="0"/>
        <w:jc w:val="left"/>
        <w:rPr>
          <w:b/>
          <w:u w:val="single"/>
        </w:rPr>
      </w:pPr>
      <w:r>
        <w:rPr>
          <w:b/>
          <w:u w:val="single"/>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AtaiBeckley plans to file a proxy statement (the “Proxy Statement”) with the Securities and Exchange Commission (the “SEC”) in connection with the solicitation of proxies to approve the agreement and plan of merger (the “Merger Agreement”) relating to Lilly’s proposed acquisition of AtaiBeckley (the “Merger”). Promptly after filing the definitive Proxy Statement with the SEC, AtaiBeckley will mail the definitive Proxy Statement and a proxy card to each stockholder entitled to vote at the special meeting to consider the adoption of the Merger Agreement. Stockholders are urged to read the proxy statement (including any amendments or supplements thereto) and any other relevant documents that AtaiBeckley will file with the SEC when they become available because they will contain important information. Stockholders may obtain, free of charge, the preliminary and definitive versions of the Proxy Statement, any amendments or supplements thereto, and any other relevant documents filed by AtaiBeckley with the SEC in connection with the Merger at the SEC’s website (http://www.sec.gov). Copies of AtaiBeckley’s definitive Proxy Statement, any amendments or supplements thereto, and any other relevant documents filed by AtaiBeckley with the SEC in connection with the Merger will also be available, free of charge, at AtaiBeckley’s investor relations website (https://ir.ataibeckley.com), or by writing to AtaiBeckley Inc., Attention: Investor Relations, 250 West 34th Street, New York, NY 10119.</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Participants in the Solicitation</w:t>
      </w:r>
    </w:p>
    <w:p>
      <w:pPr>
        <w:pStyle w:val="TextBody"/>
        <w:bidi w:val="0"/>
        <w:spacing w:before="0" w:after="0"/>
        <w:jc w:val="left"/>
        <w:rPr>
          <w:b/>
          <w:u w:val="single"/>
        </w:rPr>
      </w:pPr>
      <w:r>
        <w:rPr>
          <w:b/>
          <w:u w:val="single"/>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SEC rules, AtaiBeckley and certain of its directors, executive officers and other members of management and employees may be deemed to be participants in the solicitation of proxies from stockholders in connection with the Merger. Information about the directors and executive officers of AtaiBeckley and their ownership of AtaiBeckley’s common stock is set forth in the definitive proxy statement for AtaiBeckley’s 2026 Annual Meeting of Stockholders (the “2026 Proxy Statement”), which was filed with the SEC on April 22, 2026, including the sections captioned “Director Compensation,” “Executive Employment Agreements” and “Security Ownership of Certain Beneficial Owners and Management,” or its Annual Report on Form 10-K for the year ended December 31, 2025, which was filed with the SEC on March 6, 2026, and in other documents filed by AtaiBeckley with the SEC. To the extent holdings of such participants in AtaiBeckley’s securities have changed since the amounts described in the 2026 Proxy Statement, such changes have been reflected on Forms 3 or Forms 4 filed with the SEC by AtaiBeckley’s directors and executive officers. These documents can be obtained free of charge from the sources indicated below. Additional information regarding the participants in the proxy solicitation and a description of their direct and indirect interests, by security holdings or otherwise, will be contained in the Proxy Statement and other relevant materials to be filed with the SEC in respect of the Merger when they become available.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Cautionary Statement Regarding Forward-Looking Statements</w:t>
      </w:r>
    </w:p>
    <w:p>
      <w:pPr>
        <w:pStyle w:val="TextBody"/>
        <w:bidi w:val="0"/>
        <w:spacing w:before="0" w:after="0"/>
        <w:jc w:val="left"/>
        <w:rPr>
          <w:b/>
          <w:u w:val="single"/>
        </w:rPr>
      </w:pPr>
      <w:r>
        <w:rPr>
          <w:b/>
          <w:u w:val="single"/>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forward-looking statements that involve substantial risks and uncertainties, including statements regarding: the Merger; the prospective benefits of the Merger; the parties’ ability to satisfy the conditions to the consummation of the Merger and the expected timetable for the Merger; the anticipated occurrence, manner and timing of the closing of the Merger; potential milestone payment amounts and terms pursuant to the CVRs; AtaiBeckley’s product candidates and ongoing clinical and preclinical development; Lilly’s development of programs targeting treatment-resistant depression and mental health conditions; and the accounting treatment of the potential acquisition under GAAP and its potential impact on Lilly’s financial results and financial guidance.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 These risks and uncertainties include, but are not limited to: the possibility that AtaiBeckley’s shareholders may not approve the adoption of the Merger agreement; AtaiBeckley’s receipt of any competing offers or acquisition proposals; a failure to (or delay in) receiving the required regulatory clearances for the Merger; a condition to closing of the Merger may not be satisfied (or waived); the ability of each party to consummate the Merger; the closing of the Merger might be delayed or not occur at all; the diversion of management time and attention from ongoing business operations and opportunities; the response of competitors to the Merger; the effect of the Merger and the public announcement of the Merger on AtaiBeckley’s operations and its relationships with its suppliers, business partners, management and employees, including its ability to attract and retain key personnel; Lilly’s ability to successfully integrate AtaiBeckley and execute on the continued development of AtaiBeckley’s programs following the closing of the Merger; that all or any of the potential milestone payments pursuant to the CVRs will become payable on the terms described herein or at all; the outcome of any legal proceedings that could be instituted against the parties to the Merger; the risks inherent in drug research, development and commercialization; disruption in AtaiBeckley’s plans and operations attributable to the Merger; changes in AtaiBeckley’s business during the period between announcement and closing of the Merger; Lilly’s evaluation of the accounting treatment of the potential acquisition and its potential impact on its financial results and financial guidance; the effects of the Merger (or the announcement thereof) on AtaiBeckley’s stock price;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Lilly’s and AtaiBeckley’s periodic reports filed with the SEC. There can be no assurance that the Merger will in fact be consummated. All forward-looking statements in this communication are based on information available to Lilly and AtaiBeckley as of the date of this communication. Lilly and AtaiBeckley each expressly disclaim any obligation to publicly update or revise the forward-looking statements, except as required by law.</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jc w:val="left"/>
        <w:rPr/>
      </w:pPr>
      <w:r>
        <w:rPr/>
      </w:r>
    </w:p>
    <w:p>
      <w:pPr>
        <w:pStyle w:val="TextBody"/>
        <w:bidi w:val="0"/>
        <w:spacing w:before="0" w:after="283"/>
        <w:jc w:val="left"/>
        <w:rPr>
          <w:color w:val="000000"/>
        </w:rPr>
      </w:pPr>
      <w:r>
        <w:rPr>
          <w:color w:val="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86268</Words>
  <Characters>460410</Characters>
  <CharactersWithSpaces>549979</CharactersWithSpaces>
  <Paragraphs>2727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